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3F4B94F" w:rsidR="004C5767" w:rsidRPr="006560B3" w:rsidRDefault="004C5767" w:rsidP="00D27533">
      <w:pPr>
        <w:pStyle w:val="tbody"/>
        <w:rPr>
          <w:b w:val="0"/>
        </w:rPr>
      </w:pPr>
      <w:r w:rsidRPr="00C02553">
        <w:t>Drug/Drug Class:</w:t>
      </w:r>
      <w:r w:rsidR="006560B3">
        <w:rPr>
          <w:b w:val="0"/>
        </w:rPr>
        <w:t xml:space="preserve"> </w:t>
      </w:r>
      <w:r w:rsidR="001D5213" w:rsidRPr="001D5213">
        <w:rPr>
          <w:b w:val="0"/>
        </w:rPr>
        <w:t>Epidermolysis Bullosa Clinical Edit</w:t>
      </w:r>
    </w:p>
    <w:p w14:paraId="7AD7FFCE" w14:textId="09DC1A27" w:rsidR="004C5767" w:rsidRPr="006560B3" w:rsidRDefault="004C5767" w:rsidP="00D27533">
      <w:pPr>
        <w:pStyle w:val="tbody"/>
        <w:rPr>
          <w:b w:val="0"/>
        </w:rPr>
      </w:pPr>
      <w:r w:rsidRPr="00C02553">
        <w:t>First Implementation Date:</w:t>
      </w:r>
      <w:r w:rsidR="006560B3">
        <w:rPr>
          <w:b w:val="0"/>
        </w:rPr>
        <w:t xml:space="preserve"> </w:t>
      </w:r>
      <w:r w:rsidR="007773E8" w:rsidRPr="007773E8">
        <w:rPr>
          <w:b w:val="0"/>
        </w:rPr>
        <w:t>February 1, 2024</w:t>
      </w:r>
    </w:p>
    <w:p w14:paraId="4B7D760D" w14:textId="52B00EE3"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Pr>
          <w:b w:val="0"/>
        </w:rPr>
        <w:t>19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6695EE3" w:rsidR="004C5767" w:rsidRPr="00D27533" w:rsidRDefault="004C5767" w:rsidP="00D27533">
      <w:pPr>
        <w:pStyle w:val="tbody"/>
        <w:rPr>
          <w:b w:val="0"/>
          <w:bCs/>
          <w:spacing w:val="-3"/>
        </w:rPr>
      </w:pPr>
      <w:r w:rsidRPr="007773E8">
        <w:t xml:space="preserve">Criteria Status: </w:t>
      </w:r>
      <w:r w:rsidR="00566BE4" w:rsidRPr="007773E8">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34059BF4" w:rsidR="00D47996" w:rsidRDefault="79EEA449" w:rsidP="00696E3A">
      <w:r>
        <w:t>Ensure appropriate utilization and control of</w:t>
      </w:r>
      <w:r w:rsidR="00D47996">
        <w:t xml:space="preserve"> </w:t>
      </w:r>
      <w:r w:rsidR="00351E4B" w:rsidRPr="00351E4B">
        <w:t>agents used to treat Epidermolysis Bullosa.</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70AC3D3" w14:textId="77777777" w:rsidR="003276BF" w:rsidRPr="0077258C" w:rsidRDefault="003276BF" w:rsidP="003276BF">
      <w:pPr>
        <w:pStyle w:val="CommentText"/>
        <w:rPr>
          <w:rFonts w:cs="Arial"/>
          <w:bCs/>
          <w:spacing w:val="-3"/>
        </w:rPr>
      </w:pPr>
      <w:r w:rsidRPr="00611D88">
        <w:rPr>
          <w:rFonts w:cs="Arial"/>
          <w:bCs/>
          <w:spacing w:val="-3"/>
        </w:rPr>
        <w:t>Epidermolysis bullosa (EB) is a genetic skin disorder that causes abnormalities in the cohesion of the layers of the epidermis resulting in skin fragility. EB is caused by mutations involving several genes that encode for structural proteins within keratin intermediate filaments, desmosome cell junctions, and hemidesmosome attachment complexes.</w:t>
      </w:r>
      <w:r>
        <w:rPr>
          <w:rFonts w:cs="Arial"/>
          <w:bCs/>
          <w:spacing w:val="-3"/>
        </w:rPr>
        <w:t xml:space="preserve"> </w:t>
      </w:r>
      <w:r w:rsidRPr="00611D88">
        <w:rPr>
          <w:rFonts w:cs="Arial"/>
          <w:bCs/>
          <w:spacing w:val="-3"/>
        </w:rPr>
        <w:t xml:space="preserve">Symptoms of EB vary widely among affected patients. Clinical manifestations include blisters, erosions, nonhealing ulcerations, and scars in response to mild skin trauma. Patients often present with extracutaneous manifestations including hair and nail abnormalities, ocular blisters, oral blisters, gastrointestinal complications, and genitourinary complications. </w:t>
      </w:r>
      <w:r w:rsidRPr="0077258C">
        <w:rPr>
          <w:rFonts w:cs="Arial"/>
          <w:bCs/>
          <w:spacing w:val="-3"/>
        </w:rPr>
        <w:t xml:space="preserve">There are four major types of EB; </w:t>
      </w:r>
      <w:r w:rsidRPr="009F7FF9">
        <w:rPr>
          <w:rFonts w:cs="Arial"/>
          <w:bCs/>
          <w:spacing w:val="-3"/>
        </w:rPr>
        <w:t xml:space="preserve">dystrophic epidermolysis bullosa </w:t>
      </w:r>
      <w:r>
        <w:rPr>
          <w:rFonts w:cs="Arial"/>
          <w:bCs/>
          <w:spacing w:val="-3"/>
        </w:rPr>
        <w:t>(</w:t>
      </w:r>
      <w:r w:rsidRPr="0077258C">
        <w:rPr>
          <w:rFonts w:cs="Arial"/>
          <w:bCs/>
          <w:spacing w:val="-3"/>
        </w:rPr>
        <w:t>DEB</w:t>
      </w:r>
      <w:r>
        <w:rPr>
          <w:rFonts w:cs="Arial"/>
          <w:bCs/>
          <w:spacing w:val="-3"/>
        </w:rPr>
        <w:t>)</w:t>
      </w:r>
      <w:r w:rsidRPr="0077258C">
        <w:rPr>
          <w:rFonts w:cs="Arial"/>
          <w:bCs/>
          <w:spacing w:val="-3"/>
        </w:rPr>
        <w:t xml:space="preserve"> and </w:t>
      </w:r>
      <w:r w:rsidRPr="00AE160A">
        <w:rPr>
          <w:rFonts w:cs="Arial"/>
          <w:bCs/>
          <w:spacing w:val="-3"/>
        </w:rPr>
        <w:t xml:space="preserve">junctional epidermolysis bullosa </w:t>
      </w:r>
      <w:r>
        <w:rPr>
          <w:rFonts w:cs="Arial"/>
          <w:bCs/>
          <w:spacing w:val="-3"/>
        </w:rPr>
        <w:t>(</w:t>
      </w:r>
      <w:r w:rsidRPr="0077258C">
        <w:rPr>
          <w:rFonts w:cs="Arial"/>
          <w:bCs/>
          <w:spacing w:val="-3"/>
        </w:rPr>
        <w:t>JEB</w:t>
      </w:r>
      <w:r>
        <w:rPr>
          <w:rFonts w:cs="Arial"/>
          <w:bCs/>
          <w:spacing w:val="-3"/>
        </w:rPr>
        <w:t>)</w:t>
      </w:r>
      <w:r w:rsidRPr="0077258C">
        <w:rPr>
          <w:rFonts w:cs="Arial"/>
          <w:bCs/>
          <w:spacing w:val="-3"/>
        </w:rPr>
        <w:t xml:space="preserve"> are two potentially more severe types of the disease. There may be up to 3</w:t>
      </w:r>
      <w:r>
        <w:rPr>
          <w:rFonts w:cs="Arial"/>
          <w:bCs/>
          <w:spacing w:val="-3"/>
        </w:rPr>
        <w:t>,</w:t>
      </w:r>
      <w:r w:rsidRPr="0077258C">
        <w:rPr>
          <w:rFonts w:cs="Arial"/>
          <w:bCs/>
          <w:spacing w:val="-3"/>
        </w:rPr>
        <w:t>000 patients in the United States with DEB and less than 200 patients with JEB.</w:t>
      </w:r>
      <w:r>
        <w:rPr>
          <w:rFonts w:cs="Arial"/>
          <w:bCs/>
          <w:spacing w:val="-3"/>
        </w:rPr>
        <w:t xml:space="preserve"> </w:t>
      </w:r>
      <w:r w:rsidRPr="00611D88">
        <w:rPr>
          <w:rFonts w:cs="Arial"/>
          <w:bCs/>
          <w:spacing w:val="-3"/>
        </w:rPr>
        <w:t xml:space="preserve">Severe cases of EB may result in malnutrition, anemia, infection, skin cancer, and death. </w:t>
      </w:r>
      <w:r w:rsidRPr="00F7366E">
        <w:rPr>
          <w:rFonts w:cs="Arial"/>
          <w:bCs/>
          <w:spacing w:val="-3"/>
        </w:rPr>
        <w:t>The National Epidermolysis Bullosa Registry (NEBR) estimates the incidence of EB to be approximately 20 per million live births.</w:t>
      </w:r>
    </w:p>
    <w:p w14:paraId="23076932" w14:textId="77777777" w:rsidR="003276BF" w:rsidRPr="00032266" w:rsidRDefault="003276BF" w:rsidP="003276BF">
      <w:pPr>
        <w:pStyle w:val="CommentText"/>
        <w:rPr>
          <w:rFonts w:cs="Arial"/>
          <w:bCs/>
          <w:spacing w:val="-3"/>
          <w:sz w:val="18"/>
          <w:szCs w:val="18"/>
        </w:rPr>
      </w:pPr>
    </w:p>
    <w:p w14:paraId="6E5B5A16" w14:textId="77777777" w:rsidR="003276BF" w:rsidRDefault="003276BF" w:rsidP="003276BF">
      <w:pPr>
        <w:pStyle w:val="CommentText"/>
        <w:rPr>
          <w:rFonts w:cs="Arial"/>
          <w:bCs/>
          <w:spacing w:val="-3"/>
        </w:rPr>
      </w:pPr>
      <w:proofErr w:type="spellStart"/>
      <w:r w:rsidRPr="00E30AE6">
        <w:rPr>
          <w:rFonts w:cs="Arial"/>
          <w:bCs/>
          <w:spacing w:val="-3"/>
        </w:rPr>
        <w:t>Vyjuvek</w:t>
      </w:r>
      <w:proofErr w:type="spellEnd"/>
      <w:r w:rsidRPr="00D5584D">
        <w:rPr>
          <w:rFonts w:cs="Arial"/>
          <w:bCs/>
          <w:spacing w:val="-3"/>
          <w:vertAlign w:val="superscript"/>
        </w:rPr>
        <w:t>®</w:t>
      </w:r>
      <w:r w:rsidRPr="00E30AE6">
        <w:rPr>
          <w:rFonts w:cs="Arial"/>
          <w:bCs/>
          <w:spacing w:val="-3"/>
        </w:rPr>
        <w:t xml:space="preserve"> (</w:t>
      </w:r>
      <w:proofErr w:type="spellStart"/>
      <w:r w:rsidRPr="00E30AE6">
        <w:rPr>
          <w:rFonts w:cs="Arial"/>
          <w:bCs/>
          <w:spacing w:val="-3"/>
        </w:rPr>
        <w:t>beremagene</w:t>
      </w:r>
      <w:proofErr w:type="spellEnd"/>
      <w:r w:rsidRPr="00E30AE6">
        <w:rPr>
          <w:rFonts w:cs="Arial"/>
          <w:bCs/>
          <w:spacing w:val="-3"/>
        </w:rPr>
        <w:t xml:space="preserve"> </w:t>
      </w:r>
      <w:proofErr w:type="spellStart"/>
      <w:r w:rsidRPr="00E30AE6">
        <w:rPr>
          <w:rFonts w:cs="Arial"/>
          <w:bCs/>
          <w:spacing w:val="-3"/>
        </w:rPr>
        <w:t>geperpavec-svdt</w:t>
      </w:r>
      <w:proofErr w:type="spellEnd"/>
      <w:r w:rsidRPr="00E30AE6">
        <w:rPr>
          <w:rFonts w:cs="Arial"/>
          <w:bCs/>
          <w:spacing w:val="-3"/>
        </w:rPr>
        <w:t>)</w:t>
      </w:r>
      <w:r>
        <w:rPr>
          <w:rFonts w:cs="Arial"/>
          <w:bCs/>
          <w:spacing w:val="-3"/>
        </w:rPr>
        <w:t xml:space="preserve">, initially FDA approved in 2023, is indicated </w:t>
      </w:r>
      <w:r w:rsidRPr="00032266">
        <w:rPr>
          <w:rFonts w:cs="Arial"/>
          <w:bCs/>
          <w:spacing w:val="-3"/>
        </w:rPr>
        <w:t xml:space="preserve">for the treatment of </w:t>
      </w:r>
      <w:r w:rsidRPr="006E17E0">
        <w:rPr>
          <w:rFonts w:cs="Arial"/>
          <w:bCs/>
          <w:spacing w:val="-3"/>
        </w:rPr>
        <w:t xml:space="preserve">wounds in patients with DEB with mutations(s) in the </w:t>
      </w:r>
      <w:r w:rsidRPr="003B3544">
        <w:rPr>
          <w:rFonts w:cs="Arial"/>
          <w:bCs/>
          <w:spacing w:val="-3"/>
        </w:rPr>
        <w:t>collagen type VII alpha 1 chain</w:t>
      </w:r>
      <w:r w:rsidRPr="006E17E0">
        <w:rPr>
          <w:rFonts w:cs="Arial"/>
          <w:bCs/>
          <w:i/>
          <w:iCs/>
          <w:spacing w:val="-3"/>
        </w:rPr>
        <w:t xml:space="preserve"> (COL7A1)</w:t>
      </w:r>
      <w:r w:rsidRPr="006E17E0">
        <w:rPr>
          <w:rFonts w:cs="Arial"/>
          <w:bCs/>
          <w:spacing w:val="-3"/>
        </w:rPr>
        <w:t xml:space="preserve"> gene</w:t>
      </w:r>
      <w:r>
        <w:rPr>
          <w:rFonts w:cs="Arial"/>
          <w:bCs/>
          <w:spacing w:val="-3"/>
        </w:rPr>
        <w:t xml:space="preserve">. </w:t>
      </w:r>
      <w:proofErr w:type="spellStart"/>
      <w:r w:rsidRPr="008574B0">
        <w:rPr>
          <w:rFonts w:cs="Arial"/>
          <w:bCs/>
          <w:spacing w:val="-3"/>
        </w:rPr>
        <w:t>Vyjuvek</w:t>
      </w:r>
      <w:proofErr w:type="spellEnd"/>
      <w:r w:rsidRPr="008574B0">
        <w:rPr>
          <w:rFonts w:cs="Arial"/>
          <w:bCs/>
          <w:spacing w:val="-3"/>
        </w:rPr>
        <w:t xml:space="preserve"> is a herpes-simplex virus type 1 (HSV-1) vector-based gene therapy and is the first-in-class topical gene therapy treatment approved for DEB.</w:t>
      </w:r>
      <w:r>
        <w:rPr>
          <w:rFonts w:cs="Arial"/>
          <w:bCs/>
          <w:spacing w:val="-3"/>
        </w:rPr>
        <w:t xml:space="preserve"> In</w:t>
      </w:r>
      <w:r w:rsidRPr="00941684">
        <w:rPr>
          <w:rFonts w:cs="Arial"/>
          <w:bCs/>
          <w:spacing w:val="-3"/>
        </w:rPr>
        <w:t xml:space="preserve"> December 2023, the FDA </w:t>
      </w:r>
      <w:r>
        <w:rPr>
          <w:rFonts w:cs="Arial"/>
          <w:bCs/>
          <w:spacing w:val="-3"/>
        </w:rPr>
        <w:t xml:space="preserve">then </w:t>
      </w:r>
      <w:r w:rsidRPr="00941684">
        <w:rPr>
          <w:rFonts w:cs="Arial"/>
          <w:bCs/>
          <w:spacing w:val="-3"/>
        </w:rPr>
        <w:t xml:space="preserve">approved </w:t>
      </w:r>
      <w:proofErr w:type="spellStart"/>
      <w:r w:rsidRPr="00941684">
        <w:rPr>
          <w:rFonts w:cs="Arial"/>
          <w:bCs/>
          <w:spacing w:val="-3"/>
        </w:rPr>
        <w:t>Filsuvez</w:t>
      </w:r>
      <w:proofErr w:type="spellEnd"/>
      <w:r w:rsidRPr="00D5584D">
        <w:rPr>
          <w:rFonts w:cs="Arial"/>
          <w:bCs/>
          <w:spacing w:val="-3"/>
          <w:vertAlign w:val="superscript"/>
        </w:rPr>
        <w:t>®</w:t>
      </w:r>
      <w:r w:rsidRPr="00941684">
        <w:rPr>
          <w:rFonts w:cs="Arial"/>
          <w:bCs/>
          <w:spacing w:val="-3"/>
        </w:rPr>
        <w:t xml:space="preserve"> (birch triterpenes) topical gel for the treatment of wounds associated with DEB and</w:t>
      </w:r>
      <w:r>
        <w:rPr>
          <w:rFonts w:cs="Arial"/>
          <w:bCs/>
          <w:spacing w:val="-3"/>
        </w:rPr>
        <w:t xml:space="preserve"> </w:t>
      </w:r>
      <w:r w:rsidRPr="00941684">
        <w:rPr>
          <w:rFonts w:cs="Arial"/>
          <w:bCs/>
          <w:spacing w:val="-3"/>
        </w:rPr>
        <w:t>JEB in adult and pediatric patients 6 months of age and older.</w:t>
      </w:r>
      <w:r>
        <w:rPr>
          <w:rFonts w:cs="Arial"/>
          <w:bCs/>
          <w:spacing w:val="-3"/>
        </w:rPr>
        <w:t xml:space="preserve"> </w:t>
      </w:r>
      <w:proofErr w:type="spellStart"/>
      <w:r>
        <w:rPr>
          <w:rFonts w:cs="Arial"/>
          <w:bCs/>
          <w:spacing w:val="-3"/>
        </w:rPr>
        <w:t>Zevaskyn</w:t>
      </w:r>
      <w:proofErr w:type="spellEnd"/>
      <w:r w:rsidRPr="00D0055A">
        <w:rPr>
          <w:rFonts w:cs="Arial"/>
          <w:bCs/>
          <w:spacing w:val="-3"/>
          <w:vertAlign w:val="superscript"/>
        </w:rPr>
        <w:t>™</w:t>
      </w:r>
      <w:r>
        <w:rPr>
          <w:rFonts w:cs="Arial"/>
          <w:bCs/>
          <w:spacing w:val="-3"/>
        </w:rPr>
        <w:t xml:space="preserve"> (</w:t>
      </w:r>
      <w:proofErr w:type="spellStart"/>
      <w:r w:rsidRPr="00881410">
        <w:rPr>
          <w:rFonts w:cs="Arial"/>
          <w:bCs/>
          <w:spacing w:val="-3"/>
        </w:rPr>
        <w:t>prademagene</w:t>
      </w:r>
      <w:proofErr w:type="spellEnd"/>
      <w:r w:rsidRPr="00881410">
        <w:rPr>
          <w:rFonts w:cs="Arial"/>
          <w:bCs/>
          <w:spacing w:val="-3"/>
        </w:rPr>
        <w:t xml:space="preserve"> </w:t>
      </w:r>
      <w:proofErr w:type="spellStart"/>
      <w:r w:rsidRPr="00881410">
        <w:rPr>
          <w:rFonts w:cs="Arial"/>
          <w:bCs/>
          <w:spacing w:val="-3"/>
        </w:rPr>
        <w:t>zamikeracel</w:t>
      </w:r>
      <w:proofErr w:type="spellEnd"/>
      <w:r>
        <w:rPr>
          <w:rFonts w:cs="Arial"/>
          <w:bCs/>
          <w:spacing w:val="-3"/>
        </w:rPr>
        <w:t>), a cellular sheet matrix</w:t>
      </w:r>
      <w:r w:rsidRPr="00BF49A0">
        <w:rPr>
          <w:rFonts w:eastAsia="Arial" w:cs="Arial"/>
        </w:rPr>
        <w:t xml:space="preserve"> </w:t>
      </w:r>
      <w:r>
        <w:rPr>
          <w:rFonts w:eastAsia="Arial" w:cs="Arial"/>
        </w:rPr>
        <w:t xml:space="preserve">consisting of the </w:t>
      </w:r>
      <w:r w:rsidRPr="00BF49A0">
        <w:rPr>
          <w:rFonts w:cs="Arial"/>
          <w:bCs/>
          <w:spacing w:val="-3"/>
        </w:rPr>
        <w:t>patient's own gene-modified cells contain</w:t>
      </w:r>
      <w:r>
        <w:rPr>
          <w:rFonts w:cs="Arial"/>
          <w:bCs/>
          <w:spacing w:val="-3"/>
        </w:rPr>
        <w:t>ing</w:t>
      </w:r>
      <w:r w:rsidRPr="00BF49A0">
        <w:rPr>
          <w:rFonts w:cs="Arial"/>
          <w:bCs/>
          <w:spacing w:val="-3"/>
        </w:rPr>
        <w:t xml:space="preserve"> functional copies of the </w:t>
      </w:r>
      <w:r w:rsidRPr="00BF49A0">
        <w:rPr>
          <w:rFonts w:cs="Arial"/>
          <w:bCs/>
          <w:i/>
          <w:iCs/>
          <w:spacing w:val="-3"/>
        </w:rPr>
        <w:t xml:space="preserve">COL7A1 </w:t>
      </w:r>
      <w:r w:rsidRPr="00BF49A0">
        <w:rPr>
          <w:rFonts w:cs="Arial"/>
          <w:bCs/>
          <w:spacing w:val="-3"/>
        </w:rPr>
        <w:t>gene</w:t>
      </w:r>
      <w:r>
        <w:rPr>
          <w:rFonts w:cs="Arial"/>
          <w:bCs/>
          <w:spacing w:val="-3"/>
        </w:rPr>
        <w:t>, was approved in April 2025.</w:t>
      </w:r>
    </w:p>
    <w:p w14:paraId="419BDD4D" w14:textId="77777777" w:rsidR="003276BF" w:rsidRPr="00032266" w:rsidRDefault="003276BF" w:rsidP="003276BF">
      <w:pPr>
        <w:pStyle w:val="CommentText"/>
        <w:rPr>
          <w:rFonts w:cs="Arial"/>
          <w:bCs/>
          <w:spacing w:val="-3"/>
          <w:sz w:val="18"/>
          <w:szCs w:val="18"/>
        </w:rPr>
      </w:pPr>
    </w:p>
    <w:p w14:paraId="7ACECC9F" w14:textId="1385AE9D" w:rsidR="00B56DCC" w:rsidRDefault="003276BF" w:rsidP="003276BF">
      <w:r w:rsidRPr="00032266">
        <w:rPr>
          <w:rFonts w:cs="Arial"/>
          <w:bCs/>
          <w:spacing w:val="-3"/>
        </w:rPr>
        <w:t xml:space="preserve">Due to the high cost and specific approved indication, MO HealthNet will impose clinical criteria to ensure appropriate utilization of </w:t>
      </w:r>
      <w:r>
        <w:rPr>
          <w:rFonts w:cs="Arial"/>
          <w:bCs/>
          <w:spacing w:val="-3"/>
        </w:rPr>
        <w:t>EB treatment a</w:t>
      </w:r>
      <w:r>
        <w:rPr>
          <w:rFonts w:cs="Arial"/>
          <w:spacing w:val="-3"/>
        </w:rPr>
        <w:t>gents</w:t>
      </w:r>
      <w:r w:rsidRPr="00032266">
        <w:rPr>
          <w:rFonts w:cs="Arial"/>
          <w:bCs/>
          <w:spacing w:val="-3"/>
        </w:rPr>
        <w:t>.</w:t>
      </w:r>
    </w:p>
    <w:p w14:paraId="6E51C725" w14:textId="77777777" w:rsidR="00351E4B" w:rsidRDefault="00351E4B" w:rsidP="00696E3A"/>
    <w:p w14:paraId="5B5260CF" w14:textId="6324FE01" w:rsidR="003D4704" w:rsidRPr="00AD17B7" w:rsidRDefault="003D4704" w:rsidP="003D4704">
      <w:r>
        <w:rPr>
          <w:b/>
          <w:bCs/>
        </w:rPr>
        <w:t xml:space="preserve">Program-Specific Information: </w:t>
      </w:r>
      <w:r>
        <w:t>Dat</w:t>
      </w:r>
      <w:r w:rsidR="00ED760F">
        <w:t>e</w:t>
      </w:r>
      <w:r>
        <w:t xml:space="preserve"> Ranges FFS </w:t>
      </w:r>
      <w:r w:rsidR="004F7FEA">
        <w:t>7</w:t>
      </w:r>
      <w:r>
        <w:t xml:space="preserve">-1-2024 to </w:t>
      </w:r>
      <w:r w:rsidR="004F7FEA">
        <w:t>6</w:t>
      </w:r>
      <w:r>
        <w:t>-30-2025</w:t>
      </w: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530"/>
        <w:gridCol w:w="2070"/>
        <w:gridCol w:w="2264"/>
      </w:tblGrid>
      <w:tr w:rsidR="002F4FFD" w:rsidRPr="00902CF9" w14:paraId="7E639B47" w14:textId="11AFAB32" w:rsidTr="00E81DAC">
        <w:trPr>
          <w:trHeight w:val="232"/>
          <w:jc w:val="center"/>
        </w:trPr>
        <w:tc>
          <w:tcPr>
            <w:tcW w:w="2965" w:type="dxa"/>
            <w:shd w:val="clear" w:color="auto" w:fill="FABF8F" w:themeFill="accent6" w:themeFillTint="99"/>
            <w:vAlign w:val="center"/>
          </w:tcPr>
          <w:p w14:paraId="0258BA66" w14:textId="08D081F4" w:rsidR="002F4FFD" w:rsidRPr="00902CF9" w:rsidRDefault="002F4FFD" w:rsidP="00C064B9">
            <w:pPr>
              <w:jc w:val="center"/>
              <w:rPr>
                <w:rFonts w:cs="Arial"/>
                <w:b/>
                <w:bCs/>
                <w:spacing w:val="-3"/>
                <w:szCs w:val="20"/>
              </w:rPr>
            </w:pPr>
            <w:r w:rsidRPr="0068388E">
              <w:rPr>
                <w:rFonts w:cs="Arial"/>
                <w:b/>
                <w:bCs/>
                <w:spacing w:val="-3"/>
                <w:szCs w:val="20"/>
              </w:rPr>
              <w:t>Drug</w:t>
            </w:r>
          </w:p>
        </w:tc>
        <w:tc>
          <w:tcPr>
            <w:tcW w:w="1530" w:type="dxa"/>
            <w:shd w:val="clear" w:color="auto" w:fill="FABF8F" w:themeFill="accent6" w:themeFillTint="99"/>
            <w:vAlign w:val="center"/>
          </w:tcPr>
          <w:p w14:paraId="37F54882" w14:textId="525A1C86" w:rsidR="002F4FFD" w:rsidRPr="00902CF9" w:rsidRDefault="002F4FFD" w:rsidP="00C064B9">
            <w:pPr>
              <w:jc w:val="center"/>
              <w:rPr>
                <w:rFonts w:cs="Arial"/>
                <w:b/>
                <w:bCs/>
                <w:spacing w:val="-3"/>
                <w:szCs w:val="20"/>
              </w:rPr>
            </w:pPr>
            <w:r w:rsidRPr="0068388E">
              <w:rPr>
                <w:rFonts w:cs="Arial"/>
                <w:b/>
                <w:bCs/>
                <w:spacing w:val="-3"/>
                <w:szCs w:val="20"/>
              </w:rPr>
              <w:t>Claims</w:t>
            </w:r>
          </w:p>
        </w:tc>
        <w:tc>
          <w:tcPr>
            <w:tcW w:w="2070" w:type="dxa"/>
            <w:shd w:val="clear" w:color="auto" w:fill="FABF8F" w:themeFill="accent6" w:themeFillTint="99"/>
            <w:vAlign w:val="center"/>
          </w:tcPr>
          <w:p w14:paraId="57EB713A" w14:textId="6B6182CC" w:rsidR="002F4FFD" w:rsidRPr="00902CF9" w:rsidRDefault="002F4FFD" w:rsidP="00C064B9">
            <w:pPr>
              <w:jc w:val="center"/>
              <w:rPr>
                <w:rFonts w:cs="Arial"/>
                <w:b/>
                <w:bCs/>
                <w:spacing w:val="-3"/>
                <w:szCs w:val="20"/>
              </w:rPr>
            </w:pPr>
            <w:r w:rsidRPr="0068388E">
              <w:rPr>
                <w:rFonts w:cs="Arial"/>
                <w:b/>
                <w:spacing w:val="-3"/>
                <w:szCs w:val="20"/>
              </w:rPr>
              <w:t>Spend</w:t>
            </w:r>
          </w:p>
        </w:tc>
        <w:tc>
          <w:tcPr>
            <w:tcW w:w="2264" w:type="dxa"/>
            <w:shd w:val="clear" w:color="auto" w:fill="FABF8F" w:themeFill="accent6" w:themeFillTint="99"/>
            <w:vAlign w:val="center"/>
          </w:tcPr>
          <w:p w14:paraId="1B474AF3" w14:textId="16E3CA84" w:rsidR="002F4FFD" w:rsidRPr="00902CF9" w:rsidRDefault="002F4FFD" w:rsidP="00E81DAC">
            <w:pPr>
              <w:jc w:val="center"/>
            </w:pPr>
            <w:r w:rsidRPr="0068388E">
              <w:rPr>
                <w:rFonts w:cs="Arial"/>
                <w:b/>
                <w:spacing w:val="-3"/>
                <w:szCs w:val="20"/>
              </w:rPr>
              <w:t>Average Spend per Claim</w:t>
            </w:r>
          </w:p>
        </w:tc>
      </w:tr>
      <w:tr w:rsidR="002F4FFD" w:rsidRPr="00902CF9" w14:paraId="29C2C6B5" w14:textId="3BDCEDEA" w:rsidTr="00E81DAC">
        <w:trPr>
          <w:trHeight w:val="232"/>
          <w:jc w:val="center"/>
        </w:trPr>
        <w:tc>
          <w:tcPr>
            <w:tcW w:w="2965" w:type="dxa"/>
            <w:vAlign w:val="center"/>
          </w:tcPr>
          <w:p w14:paraId="1F74D999" w14:textId="77777777" w:rsidR="002F4FFD" w:rsidRDefault="002F4FFD" w:rsidP="00C064B9">
            <w:pPr>
              <w:rPr>
                <w:rFonts w:cs="Arial"/>
                <w:spacing w:val="-3"/>
                <w:szCs w:val="20"/>
              </w:rPr>
            </w:pPr>
            <w:r w:rsidRPr="0068388E">
              <w:rPr>
                <w:rFonts w:cs="Arial"/>
                <w:szCs w:val="20"/>
              </w:rPr>
              <w:t xml:space="preserve">FILSUVEZ </w:t>
            </w:r>
            <w:r w:rsidRPr="0068388E">
              <w:rPr>
                <w:rFonts w:cs="Arial"/>
                <w:spacing w:val="-3"/>
                <w:szCs w:val="20"/>
              </w:rPr>
              <w:t>GEL</w:t>
            </w:r>
          </w:p>
          <w:p w14:paraId="4E48F17F" w14:textId="29D761A6" w:rsidR="002F4FFD" w:rsidRPr="00902CF9" w:rsidRDefault="002F4FFD" w:rsidP="00C064B9">
            <w:pPr>
              <w:rPr>
                <w:rFonts w:cs="Arial"/>
                <w:szCs w:val="20"/>
              </w:rPr>
            </w:pPr>
            <w:r w:rsidRPr="0068388E">
              <w:rPr>
                <w:rFonts w:cs="Arial"/>
                <w:szCs w:val="20"/>
              </w:rPr>
              <w:t>VYJUVEK GEL</w:t>
            </w:r>
          </w:p>
        </w:tc>
        <w:tc>
          <w:tcPr>
            <w:tcW w:w="1530" w:type="dxa"/>
            <w:vAlign w:val="center"/>
          </w:tcPr>
          <w:p w14:paraId="3CC911F5" w14:textId="77777777" w:rsidR="002F4FFD" w:rsidRDefault="002F4FFD" w:rsidP="005C2B41">
            <w:pPr>
              <w:jc w:val="center"/>
              <w:rPr>
                <w:rFonts w:cs="Arial"/>
                <w:szCs w:val="20"/>
              </w:rPr>
            </w:pPr>
            <w:r w:rsidRPr="0068388E">
              <w:rPr>
                <w:rFonts w:cs="Arial"/>
                <w:szCs w:val="20"/>
              </w:rPr>
              <w:t>18</w:t>
            </w:r>
          </w:p>
          <w:p w14:paraId="52453425" w14:textId="318CE4E9" w:rsidR="002F4FFD" w:rsidRPr="00902CF9" w:rsidRDefault="002F4FFD" w:rsidP="005C2B41">
            <w:pPr>
              <w:jc w:val="center"/>
              <w:rPr>
                <w:rFonts w:cs="Arial"/>
                <w:szCs w:val="20"/>
              </w:rPr>
            </w:pPr>
            <w:r>
              <w:rPr>
                <w:rFonts w:cs="Arial"/>
                <w:szCs w:val="20"/>
              </w:rPr>
              <w:t>156</w:t>
            </w:r>
          </w:p>
        </w:tc>
        <w:tc>
          <w:tcPr>
            <w:tcW w:w="2070" w:type="dxa"/>
            <w:vAlign w:val="center"/>
          </w:tcPr>
          <w:p w14:paraId="1665AE2F" w14:textId="77777777" w:rsidR="002F4FFD" w:rsidRDefault="002F4FFD" w:rsidP="005C2B41">
            <w:pPr>
              <w:jc w:val="center"/>
              <w:rPr>
                <w:rFonts w:cs="Arial"/>
                <w:szCs w:val="20"/>
              </w:rPr>
            </w:pPr>
            <w:r w:rsidRPr="0068388E">
              <w:rPr>
                <w:rFonts w:cs="Arial"/>
                <w:szCs w:val="20"/>
              </w:rPr>
              <w:t>$725,488</w:t>
            </w:r>
          </w:p>
          <w:p w14:paraId="43EE586B" w14:textId="1C54CEC7" w:rsidR="002F4FFD" w:rsidRPr="00902CF9" w:rsidRDefault="002F4FFD" w:rsidP="005C2B41">
            <w:pPr>
              <w:jc w:val="center"/>
              <w:rPr>
                <w:rFonts w:cs="Arial"/>
                <w:szCs w:val="20"/>
              </w:rPr>
            </w:pPr>
            <w:r w:rsidRPr="0068388E">
              <w:rPr>
                <w:rFonts w:cs="Arial"/>
                <w:szCs w:val="20"/>
              </w:rPr>
              <w:t>$4,835,798</w:t>
            </w:r>
          </w:p>
        </w:tc>
        <w:tc>
          <w:tcPr>
            <w:tcW w:w="2264" w:type="dxa"/>
            <w:vAlign w:val="center"/>
          </w:tcPr>
          <w:p w14:paraId="5A9B3179" w14:textId="77777777" w:rsidR="002F4FFD" w:rsidRDefault="002F4FFD" w:rsidP="005C2B41">
            <w:pPr>
              <w:jc w:val="center"/>
              <w:rPr>
                <w:rFonts w:cs="Arial"/>
                <w:szCs w:val="20"/>
              </w:rPr>
            </w:pPr>
            <w:r w:rsidRPr="0068388E">
              <w:rPr>
                <w:rFonts w:cs="Arial"/>
                <w:szCs w:val="20"/>
              </w:rPr>
              <w:t>$40,305</w:t>
            </w:r>
          </w:p>
          <w:p w14:paraId="259FFA2F" w14:textId="267BB291" w:rsidR="002F4FFD" w:rsidRPr="00902CF9" w:rsidRDefault="002F4FFD" w:rsidP="005C2B41">
            <w:pPr>
              <w:jc w:val="center"/>
            </w:pPr>
            <w:r w:rsidRPr="0068388E">
              <w:rPr>
                <w:rFonts w:cs="Arial"/>
                <w:szCs w:val="20"/>
              </w:rPr>
              <w:t>$30,999</w:t>
            </w:r>
          </w:p>
        </w:tc>
      </w:tr>
      <w:tr w:rsidR="002F4FFD" w:rsidRPr="00902CF9" w14:paraId="0A1EF85E" w14:textId="55E4001F" w:rsidTr="00E81DAC">
        <w:trPr>
          <w:trHeight w:val="232"/>
          <w:jc w:val="center"/>
        </w:trPr>
        <w:tc>
          <w:tcPr>
            <w:tcW w:w="2965" w:type="dxa"/>
            <w:vAlign w:val="center"/>
          </w:tcPr>
          <w:p w14:paraId="77B43C05" w14:textId="4C163EB6" w:rsidR="002F4FFD" w:rsidRPr="00902CF9" w:rsidRDefault="002F4FFD" w:rsidP="00C064B9">
            <w:pPr>
              <w:rPr>
                <w:rFonts w:cs="Arial"/>
                <w:szCs w:val="20"/>
              </w:rPr>
            </w:pPr>
            <w:r w:rsidRPr="0068388E">
              <w:rPr>
                <w:rFonts w:cs="Arial"/>
                <w:szCs w:val="20"/>
              </w:rPr>
              <w:t>ZEVASKYN SHEETS</w:t>
            </w:r>
          </w:p>
        </w:tc>
        <w:tc>
          <w:tcPr>
            <w:tcW w:w="1530" w:type="dxa"/>
            <w:vAlign w:val="center"/>
          </w:tcPr>
          <w:p w14:paraId="4B838051" w14:textId="63716DF6" w:rsidR="002F4FFD" w:rsidRPr="00902CF9" w:rsidRDefault="002F4FFD" w:rsidP="005C2B41">
            <w:pPr>
              <w:jc w:val="center"/>
              <w:rPr>
                <w:rFonts w:cs="Arial"/>
                <w:szCs w:val="20"/>
              </w:rPr>
            </w:pPr>
            <w:r>
              <w:rPr>
                <w:rFonts w:cs="Arial"/>
                <w:szCs w:val="20"/>
              </w:rPr>
              <w:t>-</w:t>
            </w:r>
          </w:p>
        </w:tc>
        <w:tc>
          <w:tcPr>
            <w:tcW w:w="2070" w:type="dxa"/>
            <w:vAlign w:val="center"/>
          </w:tcPr>
          <w:p w14:paraId="0EDE8848" w14:textId="26B2BE5C" w:rsidR="002F4FFD" w:rsidRPr="00902CF9" w:rsidRDefault="002F4FFD" w:rsidP="005C2B41">
            <w:pPr>
              <w:jc w:val="center"/>
              <w:rPr>
                <w:rFonts w:cs="Arial"/>
                <w:szCs w:val="20"/>
              </w:rPr>
            </w:pPr>
            <w:r>
              <w:rPr>
                <w:rFonts w:cs="Arial"/>
                <w:szCs w:val="20"/>
              </w:rPr>
              <w:t>-</w:t>
            </w:r>
          </w:p>
        </w:tc>
        <w:tc>
          <w:tcPr>
            <w:tcW w:w="2264" w:type="dxa"/>
            <w:vAlign w:val="center"/>
          </w:tcPr>
          <w:p w14:paraId="26E592A9" w14:textId="2E243BF4" w:rsidR="002F4FFD" w:rsidRPr="00902CF9" w:rsidRDefault="002F4FFD" w:rsidP="005C2B41">
            <w:pPr>
              <w:jc w:val="center"/>
            </w:pPr>
            <w:r w:rsidRPr="0068388E">
              <w:rPr>
                <w:rFonts w:cs="Arial"/>
                <w:szCs w:val="20"/>
              </w:rPr>
              <w:t>$3,100,000 per cycle (WAC)</w:t>
            </w:r>
          </w:p>
        </w:tc>
      </w:tr>
    </w:tbl>
    <w:p w14:paraId="4691DC98" w14:textId="77777777" w:rsidR="003D4704" w:rsidRDefault="003D4704" w:rsidP="003D4704">
      <w:pPr>
        <w:rPr>
          <w:rFonts w:cs="Arial"/>
          <w:szCs w:val="20"/>
        </w:rPr>
      </w:pPr>
    </w:p>
    <w:p w14:paraId="7E7CF015" w14:textId="77777777" w:rsidR="00910FF5" w:rsidRDefault="00910FF5" w:rsidP="003D4704">
      <w:pPr>
        <w:rPr>
          <w:rFonts w:cs="Arial"/>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6CD2AEA6" w:rsidR="0097028A" w:rsidRPr="0079438F" w:rsidRDefault="0097028A" w:rsidP="00696E3A">
      <w:pPr>
        <w:rPr>
          <w:b/>
        </w:rPr>
      </w:pPr>
      <w:r w:rsidRPr="00696E3A">
        <w:rPr>
          <w:b/>
          <w:bCs/>
        </w:rPr>
        <w:t>Drug class for review:</w:t>
      </w:r>
      <w:r w:rsidRPr="00C02553">
        <w:t xml:space="preserve"> </w:t>
      </w:r>
      <w:r w:rsidR="00222EE6" w:rsidRPr="00E50DB6">
        <w:rPr>
          <w:rFonts w:cs="Arial"/>
          <w:bCs/>
          <w:szCs w:val="20"/>
        </w:rPr>
        <w:t xml:space="preserve">Epidermolysis Bullosa </w:t>
      </w:r>
      <w:r w:rsidR="00222EE6">
        <w:rPr>
          <w:rFonts w:cs="Arial"/>
          <w:bCs/>
          <w:szCs w:val="20"/>
        </w:rPr>
        <w:t>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778A10D4" w14:textId="77777777" w:rsidR="00514C8A" w:rsidRDefault="00514C8A" w:rsidP="00514C8A">
      <w:pPr>
        <w:pStyle w:val="NoSpacing"/>
        <w:numPr>
          <w:ilvl w:val="0"/>
          <w:numId w:val="16"/>
        </w:numPr>
        <w:contextualSpacing/>
        <w:rPr>
          <w:sz w:val="20"/>
          <w:szCs w:val="20"/>
        </w:rPr>
      </w:pPr>
      <w:r w:rsidRPr="00CB0897">
        <w:rPr>
          <w:sz w:val="20"/>
          <w:szCs w:val="20"/>
        </w:rPr>
        <w:t xml:space="preserve">Must meet </w:t>
      </w:r>
      <w:r>
        <w:rPr>
          <w:sz w:val="20"/>
          <w:szCs w:val="20"/>
        </w:rPr>
        <w:t>one</w:t>
      </w:r>
      <w:r w:rsidRPr="00CB0897">
        <w:rPr>
          <w:sz w:val="20"/>
          <w:szCs w:val="20"/>
        </w:rPr>
        <w:t xml:space="preserve"> of the following:</w:t>
      </w:r>
    </w:p>
    <w:p w14:paraId="06B49539" w14:textId="77777777" w:rsidR="00514C8A" w:rsidRDefault="00514C8A" w:rsidP="00514C8A">
      <w:pPr>
        <w:pStyle w:val="NoSpacing"/>
        <w:numPr>
          <w:ilvl w:val="1"/>
          <w:numId w:val="16"/>
        </w:numPr>
        <w:contextualSpacing/>
        <w:rPr>
          <w:sz w:val="20"/>
          <w:szCs w:val="20"/>
        </w:rPr>
      </w:pPr>
      <w:r>
        <w:rPr>
          <w:sz w:val="20"/>
          <w:szCs w:val="20"/>
        </w:rPr>
        <w:t xml:space="preserve">Claim is for </w:t>
      </w:r>
      <w:proofErr w:type="spellStart"/>
      <w:r>
        <w:rPr>
          <w:sz w:val="20"/>
          <w:szCs w:val="20"/>
        </w:rPr>
        <w:t>Vyjuvek</w:t>
      </w:r>
      <w:proofErr w:type="spellEnd"/>
      <w:r>
        <w:rPr>
          <w:sz w:val="20"/>
          <w:szCs w:val="20"/>
        </w:rPr>
        <w:t xml:space="preserve"> – must meet </w:t>
      </w:r>
      <w:proofErr w:type="gramStart"/>
      <w:r>
        <w:rPr>
          <w:sz w:val="20"/>
          <w:szCs w:val="20"/>
        </w:rPr>
        <w:t>all of</w:t>
      </w:r>
      <w:proofErr w:type="gramEnd"/>
      <w:r>
        <w:rPr>
          <w:sz w:val="20"/>
          <w:szCs w:val="20"/>
        </w:rPr>
        <w:t xml:space="preserve"> the following:</w:t>
      </w:r>
    </w:p>
    <w:p w14:paraId="58CD5717" w14:textId="77777777" w:rsidR="00514C8A" w:rsidRPr="007A27A8" w:rsidRDefault="00514C8A" w:rsidP="00512109">
      <w:pPr>
        <w:pStyle w:val="NoSpacing"/>
        <w:numPr>
          <w:ilvl w:val="2"/>
          <w:numId w:val="16"/>
        </w:numPr>
        <w:ind w:left="1080"/>
        <w:contextualSpacing/>
        <w:rPr>
          <w:b/>
          <w:bCs/>
          <w:strike/>
          <w:color w:val="1F497D" w:themeColor="text2"/>
          <w:sz w:val="20"/>
          <w:szCs w:val="20"/>
        </w:rPr>
      </w:pPr>
      <w:r w:rsidRPr="007A27A8">
        <w:rPr>
          <w:b/>
          <w:bCs/>
          <w:strike/>
          <w:color w:val="1F497D" w:themeColor="text2"/>
          <w:sz w:val="20"/>
          <w:szCs w:val="20"/>
          <w:lang w:val="en"/>
        </w:rPr>
        <w:t xml:space="preserve">Participant is aged ≥ 6 </w:t>
      </w:r>
      <w:proofErr w:type="gramStart"/>
      <w:r w:rsidRPr="007A27A8">
        <w:rPr>
          <w:b/>
          <w:bCs/>
          <w:strike/>
          <w:color w:val="1F497D" w:themeColor="text2"/>
          <w:sz w:val="20"/>
          <w:szCs w:val="20"/>
          <w:lang w:val="en"/>
        </w:rPr>
        <w:t>months;</w:t>
      </w:r>
      <w:proofErr w:type="gramEnd"/>
    </w:p>
    <w:p w14:paraId="5892EDB6" w14:textId="77777777" w:rsidR="00514C8A" w:rsidRDefault="00514C8A" w:rsidP="00512109">
      <w:pPr>
        <w:pStyle w:val="NoSpacing"/>
        <w:numPr>
          <w:ilvl w:val="2"/>
          <w:numId w:val="16"/>
        </w:numPr>
        <w:ind w:left="1080"/>
        <w:contextualSpacing/>
        <w:rPr>
          <w:sz w:val="20"/>
          <w:szCs w:val="20"/>
        </w:rPr>
      </w:pPr>
      <w:r w:rsidRPr="00CB0897">
        <w:rPr>
          <w:sz w:val="20"/>
          <w:szCs w:val="20"/>
        </w:rPr>
        <w:t xml:space="preserve">Prescribed by or in consultation with a dermatologist or other specialist in the treated disease </w:t>
      </w:r>
      <w:proofErr w:type="gramStart"/>
      <w:r w:rsidRPr="00CB0897">
        <w:rPr>
          <w:sz w:val="20"/>
          <w:szCs w:val="20"/>
        </w:rPr>
        <w:t>state;</w:t>
      </w:r>
      <w:proofErr w:type="gramEnd"/>
    </w:p>
    <w:p w14:paraId="17B64F96" w14:textId="77777777" w:rsidR="00514C8A" w:rsidRPr="00FA66FC" w:rsidRDefault="00514C8A" w:rsidP="00512109">
      <w:pPr>
        <w:pStyle w:val="NoSpacing"/>
        <w:numPr>
          <w:ilvl w:val="2"/>
          <w:numId w:val="16"/>
        </w:numPr>
        <w:ind w:left="1080"/>
        <w:contextualSpacing/>
        <w:rPr>
          <w:sz w:val="20"/>
          <w:szCs w:val="20"/>
        </w:rPr>
      </w:pPr>
      <w:r w:rsidRPr="00FA66FC">
        <w:rPr>
          <w:sz w:val="20"/>
          <w:szCs w:val="20"/>
        </w:rPr>
        <w:t xml:space="preserve">Documented diagnosis of dystrophic epidermolysis bullosa (DEB) confirmed by genetic testing showing pathogenic variant(s) in the </w:t>
      </w:r>
      <w:r w:rsidRPr="00FA66FC">
        <w:rPr>
          <w:i/>
          <w:iCs/>
          <w:sz w:val="20"/>
          <w:szCs w:val="20"/>
        </w:rPr>
        <w:t>COL7A1</w:t>
      </w:r>
      <w:r w:rsidRPr="00FA66FC">
        <w:rPr>
          <w:sz w:val="20"/>
          <w:szCs w:val="20"/>
        </w:rPr>
        <w:t xml:space="preserve"> gene; </w:t>
      </w:r>
      <w:r>
        <w:rPr>
          <w:b/>
          <w:bCs/>
          <w:sz w:val="20"/>
          <w:szCs w:val="20"/>
        </w:rPr>
        <w:t>AND</w:t>
      </w:r>
    </w:p>
    <w:p w14:paraId="4817F99F" w14:textId="77777777" w:rsidR="00514C8A" w:rsidRPr="00103057" w:rsidRDefault="00514C8A" w:rsidP="00512109">
      <w:pPr>
        <w:pStyle w:val="NoSpacing"/>
        <w:numPr>
          <w:ilvl w:val="2"/>
          <w:numId w:val="16"/>
        </w:numPr>
        <w:ind w:left="1080"/>
        <w:contextualSpacing/>
        <w:rPr>
          <w:sz w:val="20"/>
          <w:szCs w:val="20"/>
        </w:rPr>
      </w:pPr>
      <w:r w:rsidRPr="00103057">
        <w:rPr>
          <w:sz w:val="20"/>
          <w:szCs w:val="20"/>
        </w:rPr>
        <w:t>Must meet one of the following:</w:t>
      </w:r>
    </w:p>
    <w:p w14:paraId="5AD01137" w14:textId="77777777" w:rsidR="00514C8A" w:rsidRPr="00103057" w:rsidRDefault="00514C8A" w:rsidP="00512109">
      <w:pPr>
        <w:pStyle w:val="NoSpacing"/>
        <w:numPr>
          <w:ilvl w:val="3"/>
          <w:numId w:val="21"/>
        </w:numPr>
        <w:ind w:left="1440"/>
        <w:contextualSpacing/>
        <w:rPr>
          <w:sz w:val="20"/>
          <w:szCs w:val="20"/>
        </w:rPr>
      </w:pPr>
      <w:r w:rsidRPr="00103057">
        <w:rPr>
          <w:sz w:val="20"/>
          <w:szCs w:val="20"/>
        </w:rPr>
        <w:t>Documented baseline</w:t>
      </w:r>
      <w:r w:rsidRPr="00103057">
        <w:rPr>
          <w:rFonts w:ascii="Times New Roman" w:hAnsi="Times New Roman"/>
        </w:rPr>
        <w:t xml:space="preserve"> </w:t>
      </w:r>
      <w:r w:rsidRPr="00103057">
        <w:rPr>
          <w:sz w:val="20"/>
          <w:szCs w:val="20"/>
        </w:rPr>
        <w:t xml:space="preserve">Epidermolysis Bullosa Disease Activity and Scarring Index (EBDASI) Score; </w:t>
      </w:r>
      <w:r w:rsidRPr="00103057">
        <w:rPr>
          <w:b/>
          <w:bCs/>
          <w:sz w:val="20"/>
          <w:szCs w:val="20"/>
        </w:rPr>
        <w:t>OR</w:t>
      </w:r>
    </w:p>
    <w:p w14:paraId="7B315D9E" w14:textId="77777777" w:rsidR="00514C8A" w:rsidRPr="00D0055A" w:rsidRDefault="00514C8A" w:rsidP="00512109">
      <w:pPr>
        <w:pStyle w:val="NoSpacing"/>
        <w:numPr>
          <w:ilvl w:val="3"/>
          <w:numId w:val="21"/>
        </w:numPr>
        <w:ind w:left="1440"/>
        <w:contextualSpacing/>
        <w:rPr>
          <w:b/>
          <w:bCs/>
          <w:color w:val="1F497D" w:themeColor="text2"/>
          <w:sz w:val="20"/>
          <w:szCs w:val="20"/>
        </w:rPr>
      </w:pPr>
      <w:r w:rsidRPr="007A27A8">
        <w:rPr>
          <w:b/>
          <w:bCs/>
          <w:color w:val="1F497D" w:themeColor="text2"/>
          <w:sz w:val="20"/>
          <w:szCs w:val="20"/>
        </w:rPr>
        <w:t xml:space="preserve">Documented baseline number and size of </w:t>
      </w:r>
      <w:proofErr w:type="gramStart"/>
      <w:r w:rsidRPr="007A27A8">
        <w:rPr>
          <w:b/>
          <w:bCs/>
          <w:color w:val="1F497D" w:themeColor="text2"/>
          <w:sz w:val="20"/>
          <w:szCs w:val="20"/>
        </w:rPr>
        <w:t>wounds</w:t>
      </w:r>
      <w:r>
        <w:rPr>
          <w:b/>
          <w:bCs/>
          <w:color w:val="1F497D" w:themeColor="text2"/>
          <w:sz w:val="20"/>
          <w:szCs w:val="20"/>
        </w:rPr>
        <w:t>;</w:t>
      </w:r>
      <w:proofErr w:type="gramEnd"/>
    </w:p>
    <w:p w14:paraId="2FE17328" w14:textId="77777777" w:rsidR="00514C8A" w:rsidRDefault="00514C8A" w:rsidP="00514C8A">
      <w:pPr>
        <w:pStyle w:val="NoSpacing"/>
        <w:numPr>
          <w:ilvl w:val="1"/>
          <w:numId w:val="16"/>
        </w:numPr>
        <w:contextualSpacing/>
        <w:rPr>
          <w:sz w:val="20"/>
          <w:szCs w:val="20"/>
        </w:rPr>
      </w:pPr>
      <w:r>
        <w:rPr>
          <w:sz w:val="20"/>
          <w:szCs w:val="20"/>
        </w:rPr>
        <w:t xml:space="preserve">Claim is for </w:t>
      </w:r>
      <w:proofErr w:type="spellStart"/>
      <w:r>
        <w:rPr>
          <w:sz w:val="20"/>
          <w:szCs w:val="20"/>
        </w:rPr>
        <w:t>Filsuvez</w:t>
      </w:r>
      <w:proofErr w:type="spellEnd"/>
      <w:r>
        <w:rPr>
          <w:sz w:val="20"/>
          <w:szCs w:val="20"/>
        </w:rPr>
        <w:t xml:space="preserve"> – must meet </w:t>
      </w:r>
      <w:proofErr w:type="gramStart"/>
      <w:r>
        <w:rPr>
          <w:sz w:val="20"/>
          <w:szCs w:val="20"/>
        </w:rPr>
        <w:t>all of</w:t>
      </w:r>
      <w:proofErr w:type="gramEnd"/>
      <w:r>
        <w:rPr>
          <w:sz w:val="20"/>
          <w:szCs w:val="20"/>
        </w:rPr>
        <w:t xml:space="preserve"> the following:</w:t>
      </w:r>
    </w:p>
    <w:p w14:paraId="770B89A3" w14:textId="77777777" w:rsidR="00514C8A" w:rsidRPr="0011683D" w:rsidRDefault="00514C8A" w:rsidP="00512109">
      <w:pPr>
        <w:pStyle w:val="ListParagraph"/>
        <w:numPr>
          <w:ilvl w:val="2"/>
          <w:numId w:val="16"/>
        </w:numPr>
        <w:ind w:left="1080"/>
        <w:rPr>
          <w:rFonts w:cs="Arial"/>
          <w:szCs w:val="20"/>
        </w:rPr>
      </w:pPr>
      <w:r w:rsidRPr="0011683D">
        <w:rPr>
          <w:rFonts w:cs="Arial"/>
          <w:szCs w:val="20"/>
        </w:rPr>
        <w:t xml:space="preserve">Participant is aged ≥ 6 </w:t>
      </w:r>
      <w:proofErr w:type="gramStart"/>
      <w:r w:rsidRPr="0011683D">
        <w:rPr>
          <w:rFonts w:cs="Arial"/>
          <w:szCs w:val="20"/>
        </w:rPr>
        <w:t>months;</w:t>
      </w:r>
      <w:proofErr w:type="gramEnd"/>
    </w:p>
    <w:p w14:paraId="10AC36B1" w14:textId="77777777" w:rsidR="00514C8A" w:rsidRDefault="00514C8A" w:rsidP="00512109">
      <w:pPr>
        <w:pStyle w:val="NoSpacing"/>
        <w:numPr>
          <w:ilvl w:val="2"/>
          <w:numId w:val="16"/>
        </w:numPr>
        <w:ind w:left="1080"/>
        <w:contextualSpacing/>
        <w:rPr>
          <w:sz w:val="20"/>
          <w:szCs w:val="20"/>
        </w:rPr>
      </w:pPr>
      <w:r w:rsidRPr="00CB0897">
        <w:rPr>
          <w:sz w:val="20"/>
          <w:szCs w:val="20"/>
        </w:rPr>
        <w:t xml:space="preserve">Prescribed by or in consultation with a dermatologist or other specialist in the treated disease </w:t>
      </w:r>
      <w:proofErr w:type="gramStart"/>
      <w:r w:rsidRPr="00CB0897">
        <w:rPr>
          <w:sz w:val="20"/>
          <w:szCs w:val="20"/>
        </w:rPr>
        <w:t>state;</w:t>
      </w:r>
      <w:proofErr w:type="gramEnd"/>
    </w:p>
    <w:p w14:paraId="39BADD2C" w14:textId="77777777" w:rsidR="00514C8A" w:rsidRPr="00D0055A" w:rsidRDefault="00514C8A" w:rsidP="00512109">
      <w:pPr>
        <w:pStyle w:val="NoSpacing"/>
        <w:numPr>
          <w:ilvl w:val="2"/>
          <w:numId w:val="16"/>
        </w:numPr>
        <w:ind w:left="1080"/>
        <w:contextualSpacing/>
        <w:rPr>
          <w:sz w:val="20"/>
          <w:szCs w:val="20"/>
        </w:rPr>
      </w:pPr>
      <w:r w:rsidRPr="00D0055A">
        <w:rPr>
          <w:sz w:val="20"/>
          <w:szCs w:val="20"/>
        </w:rPr>
        <w:t xml:space="preserve">Documented diagnosis of dystrophic epidermolysis bullosa (DEB) or junctional epidermolysis bullosa (JEB) confirmed by one of the following: </w:t>
      </w:r>
    </w:p>
    <w:p w14:paraId="50C3B5A7" w14:textId="77777777" w:rsidR="00514C8A" w:rsidRPr="0003215E" w:rsidRDefault="00514C8A" w:rsidP="00512109">
      <w:pPr>
        <w:pStyle w:val="NoSpacing"/>
        <w:numPr>
          <w:ilvl w:val="3"/>
          <w:numId w:val="22"/>
        </w:numPr>
        <w:ind w:left="1440"/>
        <w:contextualSpacing/>
        <w:rPr>
          <w:sz w:val="20"/>
          <w:szCs w:val="20"/>
        </w:rPr>
      </w:pPr>
      <w:r w:rsidRPr="0003215E">
        <w:rPr>
          <w:sz w:val="20"/>
          <w:szCs w:val="20"/>
        </w:rPr>
        <w:t xml:space="preserve">DEB: genetic testing showing pathogenic variant(s) in the </w:t>
      </w:r>
      <w:r w:rsidRPr="0003215E">
        <w:rPr>
          <w:i/>
          <w:iCs/>
          <w:sz w:val="20"/>
          <w:szCs w:val="20"/>
        </w:rPr>
        <w:t>COL7A1</w:t>
      </w:r>
      <w:r w:rsidRPr="0003215E">
        <w:rPr>
          <w:sz w:val="20"/>
          <w:szCs w:val="20"/>
        </w:rPr>
        <w:t xml:space="preserve"> gene; </w:t>
      </w:r>
      <w:r w:rsidRPr="0003215E">
        <w:rPr>
          <w:b/>
          <w:bCs/>
          <w:sz w:val="20"/>
          <w:szCs w:val="20"/>
        </w:rPr>
        <w:t>OR</w:t>
      </w:r>
    </w:p>
    <w:p w14:paraId="7F1CAB3F" w14:textId="77777777" w:rsidR="00514C8A" w:rsidRPr="00D0055A" w:rsidRDefault="00514C8A" w:rsidP="00512109">
      <w:pPr>
        <w:pStyle w:val="NoSpacing"/>
        <w:numPr>
          <w:ilvl w:val="3"/>
          <w:numId w:val="22"/>
        </w:numPr>
        <w:ind w:left="1440"/>
        <w:contextualSpacing/>
        <w:rPr>
          <w:sz w:val="20"/>
          <w:szCs w:val="20"/>
        </w:rPr>
      </w:pPr>
      <w:r w:rsidRPr="00D0055A">
        <w:rPr>
          <w:sz w:val="20"/>
          <w:szCs w:val="20"/>
        </w:rPr>
        <w:t xml:space="preserve">JEB: genetic testing showing pathogenic variant(s) in the </w:t>
      </w:r>
      <w:r w:rsidRPr="0003215E">
        <w:rPr>
          <w:i/>
          <w:iCs/>
          <w:sz w:val="20"/>
          <w:szCs w:val="20"/>
        </w:rPr>
        <w:t>LAMA3, LAMA3A, LAMB3, LAMC2, ITGA3, ITGA6, ITGB4, or COL17A1</w:t>
      </w:r>
      <w:r w:rsidRPr="00D0055A">
        <w:rPr>
          <w:sz w:val="20"/>
          <w:szCs w:val="20"/>
        </w:rPr>
        <w:t xml:space="preserve"> </w:t>
      </w:r>
      <w:proofErr w:type="gramStart"/>
      <w:r w:rsidRPr="00D0055A">
        <w:rPr>
          <w:sz w:val="20"/>
          <w:szCs w:val="20"/>
        </w:rPr>
        <w:t>genes;</w:t>
      </w:r>
      <w:proofErr w:type="gramEnd"/>
    </w:p>
    <w:p w14:paraId="09E27917" w14:textId="77777777" w:rsidR="00514C8A" w:rsidRPr="00103057" w:rsidRDefault="00514C8A" w:rsidP="00C76FB0">
      <w:pPr>
        <w:pStyle w:val="NoSpacing"/>
        <w:numPr>
          <w:ilvl w:val="2"/>
          <w:numId w:val="16"/>
        </w:numPr>
        <w:ind w:left="1080"/>
        <w:contextualSpacing/>
        <w:rPr>
          <w:sz w:val="20"/>
          <w:szCs w:val="20"/>
        </w:rPr>
      </w:pPr>
      <w:r w:rsidRPr="00103057">
        <w:rPr>
          <w:sz w:val="20"/>
          <w:szCs w:val="20"/>
        </w:rPr>
        <w:t>Must meet one of the following:</w:t>
      </w:r>
    </w:p>
    <w:p w14:paraId="504C1BBB" w14:textId="77777777" w:rsidR="00514C8A" w:rsidRPr="00103057" w:rsidRDefault="00514C8A" w:rsidP="00C76FB0">
      <w:pPr>
        <w:pStyle w:val="NoSpacing"/>
        <w:numPr>
          <w:ilvl w:val="3"/>
          <w:numId w:val="23"/>
        </w:numPr>
        <w:ind w:left="1440"/>
        <w:contextualSpacing/>
        <w:rPr>
          <w:sz w:val="20"/>
          <w:szCs w:val="20"/>
        </w:rPr>
      </w:pPr>
      <w:r w:rsidRPr="00103057">
        <w:rPr>
          <w:sz w:val="20"/>
          <w:szCs w:val="20"/>
        </w:rPr>
        <w:t>Documented baseline</w:t>
      </w:r>
      <w:r w:rsidRPr="00103057">
        <w:rPr>
          <w:rFonts w:ascii="Times New Roman" w:hAnsi="Times New Roman"/>
        </w:rPr>
        <w:t xml:space="preserve"> </w:t>
      </w:r>
      <w:r w:rsidRPr="00103057">
        <w:rPr>
          <w:sz w:val="20"/>
          <w:szCs w:val="20"/>
        </w:rPr>
        <w:t xml:space="preserve">Epidermolysis Bullosa Disease Activity and Scarring Index (EBDASI) Score; </w:t>
      </w:r>
      <w:r w:rsidRPr="00103057">
        <w:rPr>
          <w:b/>
          <w:bCs/>
          <w:sz w:val="20"/>
          <w:szCs w:val="20"/>
        </w:rPr>
        <w:t>OR</w:t>
      </w:r>
    </w:p>
    <w:p w14:paraId="12D0AD80" w14:textId="77777777" w:rsidR="00514C8A" w:rsidRPr="007A27A8" w:rsidRDefault="00514C8A" w:rsidP="00C76FB0">
      <w:pPr>
        <w:pStyle w:val="NoSpacing"/>
        <w:numPr>
          <w:ilvl w:val="3"/>
          <w:numId w:val="23"/>
        </w:numPr>
        <w:ind w:left="1440"/>
        <w:contextualSpacing/>
        <w:rPr>
          <w:b/>
          <w:bCs/>
          <w:color w:val="1F497D" w:themeColor="text2"/>
          <w:sz w:val="20"/>
          <w:szCs w:val="20"/>
        </w:rPr>
      </w:pPr>
      <w:r w:rsidRPr="007A27A8">
        <w:rPr>
          <w:b/>
          <w:bCs/>
          <w:color w:val="1F497D" w:themeColor="text2"/>
          <w:sz w:val="20"/>
          <w:szCs w:val="20"/>
        </w:rPr>
        <w:t>Documented baseline number and size of wounds</w:t>
      </w:r>
      <w:r>
        <w:rPr>
          <w:b/>
          <w:bCs/>
          <w:color w:val="1F497D" w:themeColor="text2"/>
          <w:sz w:val="20"/>
          <w:szCs w:val="20"/>
        </w:rPr>
        <w:t>; AND</w:t>
      </w:r>
    </w:p>
    <w:p w14:paraId="6A9CD5CC" w14:textId="77777777" w:rsidR="00514C8A" w:rsidRPr="00EA49AA" w:rsidRDefault="00514C8A" w:rsidP="00C76FB0">
      <w:pPr>
        <w:pStyle w:val="NoSpacing"/>
        <w:numPr>
          <w:ilvl w:val="2"/>
          <w:numId w:val="16"/>
        </w:numPr>
        <w:ind w:left="1080"/>
        <w:contextualSpacing/>
        <w:rPr>
          <w:sz w:val="20"/>
          <w:szCs w:val="20"/>
        </w:rPr>
      </w:pPr>
      <w:r w:rsidRPr="00EA49AA">
        <w:rPr>
          <w:sz w:val="20"/>
          <w:szCs w:val="20"/>
        </w:rPr>
        <w:t>Additional approval criteria for a diagnosis of DEB:</w:t>
      </w:r>
    </w:p>
    <w:p w14:paraId="1DC2EC32" w14:textId="77777777" w:rsidR="00514C8A" w:rsidRPr="00EA49AA" w:rsidRDefault="00514C8A" w:rsidP="00C76FB0">
      <w:pPr>
        <w:pStyle w:val="NoSpacing"/>
        <w:numPr>
          <w:ilvl w:val="3"/>
          <w:numId w:val="16"/>
        </w:numPr>
        <w:ind w:left="1440"/>
        <w:contextualSpacing/>
        <w:rPr>
          <w:sz w:val="20"/>
          <w:szCs w:val="20"/>
        </w:rPr>
      </w:pPr>
      <w:r w:rsidRPr="00EA49AA">
        <w:rPr>
          <w:sz w:val="20"/>
          <w:szCs w:val="20"/>
        </w:rPr>
        <w:t xml:space="preserve">Reason of medical necessity as to why </w:t>
      </w:r>
      <w:proofErr w:type="spellStart"/>
      <w:r w:rsidRPr="00EA49AA">
        <w:rPr>
          <w:sz w:val="20"/>
          <w:szCs w:val="20"/>
        </w:rPr>
        <w:t>Vyjuvek</w:t>
      </w:r>
      <w:proofErr w:type="spellEnd"/>
      <w:r w:rsidRPr="00EA49AA">
        <w:rPr>
          <w:sz w:val="20"/>
          <w:szCs w:val="20"/>
        </w:rPr>
        <w:t xml:space="preserve"> cannot be utilized; </w:t>
      </w:r>
      <w:r w:rsidRPr="00EA49AA">
        <w:rPr>
          <w:b/>
          <w:bCs/>
          <w:sz w:val="20"/>
          <w:szCs w:val="20"/>
        </w:rPr>
        <w:t>AND</w:t>
      </w:r>
    </w:p>
    <w:p w14:paraId="59EC0205" w14:textId="77777777" w:rsidR="00514C8A" w:rsidRPr="007A27A8" w:rsidRDefault="00514C8A" w:rsidP="00514C8A">
      <w:pPr>
        <w:pStyle w:val="NoSpacing"/>
        <w:numPr>
          <w:ilvl w:val="1"/>
          <w:numId w:val="16"/>
        </w:numPr>
        <w:contextualSpacing/>
        <w:rPr>
          <w:b/>
          <w:bCs/>
          <w:color w:val="1F497D" w:themeColor="text2"/>
          <w:sz w:val="20"/>
          <w:szCs w:val="20"/>
        </w:rPr>
      </w:pPr>
      <w:r>
        <w:rPr>
          <w:b/>
          <w:bCs/>
          <w:color w:val="1F497D" w:themeColor="text2"/>
          <w:sz w:val="20"/>
          <w:szCs w:val="20"/>
        </w:rPr>
        <w:t xml:space="preserve">Claim is </w:t>
      </w:r>
      <w:r w:rsidRPr="007A27A8">
        <w:rPr>
          <w:b/>
          <w:bCs/>
          <w:color w:val="1F497D" w:themeColor="text2"/>
          <w:sz w:val="20"/>
          <w:szCs w:val="20"/>
        </w:rPr>
        <w:t xml:space="preserve">for </w:t>
      </w:r>
      <w:proofErr w:type="spellStart"/>
      <w:r w:rsidRPr="007A27A8">
        <w:rPr>
          <w:b/>
          <w:bCs/>
          <w:color w:val="1F497D" w:themeColor="text2"/>
          <w:sz w:val="20"/>
          <w:szCs w:val="20"/>
        </w:rPr>
        <w:t>Zevaskyn</w:t>
      </w:r>
      <w:proofErr w:type="spellEnd"/>
      <w:r>
        <w:rPr>
          <w:b/>
          <w:bCs/>
          <w:color w:val="1F497D" w:themeColor="text2"/>
          <w:sz w:val="20"/>
          <w:szCs w:val="20"/>
        </w:rPr>
        <w:t xml:space="preserve"> – must meet </w:t>
      </w:r>
      <w:proofErr w:type="gramStart"/>
      <w:r>
        <w:rPr>
          <w:b/>
          <w:bCs/>
          <w:color w:val="1F497D" w:themeColor="text2"/>
          <w:sz w:val="20"/>
          <w:szCs w:val="20"/>
        </w:rPr>
        <w:t>all of</w:t>
      </w:r>
      <w:proofErr w:type="gramEnd"/>
      <w:r>
        <w:rPr>
          <w:b/>
          <w:bCs/>
          <w:color w:val="1F497D" w:themeColor="text2"/>
          <w:sz w:val="20"/>
          <w:szCs w:val="20"/>
        </w:rPr>
        <w:t xml:space="preserve"> the following</w:t>
      </w:r>
      <w:r w:rsidRPr="007A27A8">
        <w:rPr>
          <w:b/>
          <w:bCs/>
          <w:color w:val="1F497D" w:themeColor="text2"/>
          <w:sz w:val="20"/>
          <w:szCs w:val="20"/>
        </w:rPr>
        <w:t>:</w:t>
      </w:r>
    </w:p>
    <w:p w14:paraId="4E165B13" w14:textId="77777777" w:rsidR="00514C8A" w:rsidRPr="007A27A8" w:rsidRDefault="00514C8A" w:rsidP="00C76FB0">
      <w:pPr>
        <w:pStyle w:val="NoSpacing"/>
        <w:numPr>
          <w:ilvl w:val="2"/>
          <w:numId w:val="16"/>
        </w:numPr>
        <w:ind w:left="1080"/>
        <w:contextualSpacing/>
        <w:rPr>
          <w:b/>
          <w:bCs/>
          <w:color w:val="1F497D" w:themeColor="text2"/>
          <w:sz w:val="20"/>
          <w:szCs w:val="20"/>
        </w:rPr>
      </w:pPr>
      <w:r w:rsidRPr="007A27A8">
        <w:rPr>
          <w:b/>
          <w:bCs/>
          <w:color w:val="1F497D" w:themeColor="text2"/>
          <w:sz w:val="20"/>
          <w:szCs w:val="20"/>
        </w:rPr>
        <w:t xml:space="preserve">Documentation that the diagnosis of dystrophic epidermolysis bullosa is recessive in nature, confirmed by genetic testing showing pathogenic variant(s) in both copies of the </w:t>
      </w:r>
      <w:r w:rsidRPr="007A27A8">
        <w:rPr>
          <w:b/>
          <w:bCs/>
          <w:i/>
          <w:iCs/>
          <w:color w:val="1F497D" w:themeColor="text2"/>
          <w:sz w:val="20"/>
          <w:szCs w:val="20"/>
        </w:rPr>
        <w:t>COL7A1</w:t>
      </w:r>
      <w:r w:rsidRPr="007A27A8">
        <w:rPr>
          <w:b/>
          <w:bCs/>
          <w:color w:val="1F497D" w:themeColor="text2"/>
          <w:sz w:val="20"/>
          <w:szCs w:val="20"/>
        </w:rPr>
        <w:t xml:space="preserve"> </w:t>
      </w:r>
      <w:proofErr w:type="gramStart"/>
      <w:r w:rsidRPr="007A27A8">
        <w:rPr>
          <w:b/>
          <w:bCs/>
          <w:color w:val="1F497D" w:themeColor="text2"/>
          <w:sz w:val="20"/>
          <w:szCs w:val="20"/>
        </w:rPr>
        <w:t>gene;</w:t>
      </w:r>
      <w:proofErr w:type="gramEnd"/>
    </w:p>
    <w:p w14:paraId="4AB0B8E6" w14:textId="77777777" w:rsidR="00514C8A" w:rsidRPr="007A27A8" w:rsidRDefault="00514C8A" w:rsidP="00C76FB0">
      <w:pPr>
        <w:pStyle w:val="ListParagraph"/>
        <w:numPr>
          <w:ilvl w:val="2"/>
          <w:numId w:val="16"/>
        </w:numPr>
        <w:ind w:left="1080"/>
        <w:rPr>
          <w:rFonts w:cs="Arial"/>
          <w:b/>
          <w:bCs/>
          <w:color w:val="1F497D" w:themeColor="text2"/>
          <w:szCs w:val="20"/>
        </w:rPr>
      </w:pPr>
      <w:r w:rsidRPr="007A27A8">
        <w:rPr>
          <w:rFonts w:cs="Arial"/>
          <w:b/>
          <w:bCs/>
          <w:color w:val="1F497D" w:themeColor="text2"/>
          <w:szCs w:val="20"/>
        </w:rPr>
        <w:t xml:space="preserve">Prescribed by or in consultation with a dermatologist at a </w:t>
      </w:r>
      <w:proofErr w:type="spellStart"/>
      <w:r w:rsidRPr="007A27A8">
        <w:rPr>
          <w:rFonts w:cs="Arial"/>
          <w:b/>
          <w:bCs/>
          <w:color w:val="1F497D" w:themeColor="text2"/>
          <w:szCs w:val="20"/>
        </w:rPr>
        <w:t>Zevaskyn</w:t>
      </w:r>
      <w:proofErr w:type="spellEnd"/>
      <w:r w:rsidRPr="007A27A8">
        <w:rPr>
          <w:rFonts w:cs="Arial"/>
          <w:b/>
          <w:bCs/>
          <w:color w:val="1F497D" w:themeColor="text2"/>
          <w:szCs w:val="20"/>
        </w:rPr>
        <w:t xml:space="preserve"> qualified treatment center; AND</w:t>
      </w:r>
    </w:p>
    <w:p w14:paraId="78B236F4" w14:textId="77777777" w:rsidR="00514C8A" w:rsidRPr="007A27A8" w:rsidRDefault="00514C8A" w:rsidP="00C76FB0">
      <w:pPr>
        <w:pStyle w:val="ListParagraph"/>
        <w:numPr>
          <w:ilvl w:val="2"/>
          <w:numId w:val="16"/>
        </w:numPr>
        <w:ind w:left="1080"/>
        <w:rPr>
          <w:rFonts w:cs="Arial"/>
          <w:b/>
          <w:bCs/>
          <w:color w:val="1F497D" w:themeColor="text2"/>
          <w:szCs w:val="20"/>
        </w:rPr>
      </w:pPr>
      <w:r w:rsidRPr="007A27A8">
        <w:rPr>
          <w:rFonts w:cs="Arial"/>
          <w:b/>
          <w:bCs/>
          <w:color w:val="1F497D" w:themeColor="text2"/>
          <w:szCs w:val="20"/>
        </w:rPr>
        <w:t xml:space="preserve">Documentation that wound(s) for </w:t>
      </w:r>
      <w:proofErr w:type="spellStart"/>
      <w:r w:rsidRPr="007A27A8">
        <w:rPr>
          <w:rFonts w:cs="Arial"/>
          <w:b/>
          <w:bCs/>
          <w:color w:val="1F497D" w:themeColor="text2"/>
          <w:szCs w:val="20"/>
        </w:rPr>
        <w:t>Zevaskyn</w:t>
      </w:r>
      <w:proofErr w:type="spellEnd"/>
      <w:r w:rsidRPr="007A27A8">
        <w:rPr>
          <w:rFonts w:cs="Arial"/>
          <w:b/>
          <w:bCs/>
          <w:color w:val="1F497D" w:themeColor="text2"/>
          <w:szCs w:val="20"/>
        </w:rPr>
        <w:t xml:space="preserve"> treatment have remained chronically open and non-healing for over 6 months</w:t>
      </w:r>
      <w:r>
        <w:rPr>
          <w:rFonts w:cs="Arial"/>
          <w:b/>
          <w:bCs/>
          <w:color w:val="1F497D" w:themeColor="text2"/>
          <w:szCs w:val="20"/>
        </w:rPr>
        <w:t>; AND</w:t>
      </w:r>
    </w:p>
    <w:p w14:paraId="67F321F4" w14:textId="77777777" w:rsidR="00514C8A" w:rsidRPr="007A27A8" w:rsidRDefault="00514C8A" w:rsidP="00514C8A">
      <w:pPr>
        <w:pStyle w:val="NoSpacing"/>
        <w:numPr>
          <w:ilvl w:val="0"/>
          <w:numId w:val="16"/>
        </w:numPr>
        <w:contextualSpacing/>
        <w:rPr>
          <w:b/>
          <w:bCs/>
          <w:color w:val="1F497D" w:themeColor="text2"/>
          <w:sz w:val="20"/>
          <w:szCs w:val="20"/>
        </w:rPr>
      </w:pPr>
      <w:r w:rsidRPr="007A27A8">
        <w:rPr>
          <w:b/>
          <w:bCs/>
          <w:color w:val="1F497D" w:themeColor="text2"/>
          <w:sz w:val="20"/>
          <w:szCs w:val="20"/>
        </w:rPr>
        <w:t>Utilization of multiple therapies simultaneously requires letter of medical necessity and specific treatment plan.</w:t>
      </w:r>
    </w:p>
    <w:p w14:paraId="756A7C75" w14:textId="77777777" w:rsidR="00514C8A" w:rsidRDefault="00514C8A" w:rsidP="00514C8A">
      <w:pPr>
        <w:pStyle w:val="NoSpacing"/>
        <w:numPr>
          <w:ilvl w:val="0"/>
          <w:numId w:val="16"/>
        </w:numPr>
        <w:contextualSpacing/>
        <w:rPr>
          <w:sz w:val="20"/>
          <w:szCs w:val="20"/>
        </w:rPr>
      </w:pPr>
      <w:r w:rsidRPr="00CB0897">
        <w:rPr>
          <w:sz w:val="20"/>
          <w:szCs w:val="20"/>
        </w:rPr>
        <w:t xml:space="preserve">Initial approval </w:t>
      </w:r>
      <w:r>
        <w:rPr>
          <w:sz w:val="20"/>
          <w:szCs w:val="20"/>
        </w:rPr>
        <w:t>period:</w:t>
      </w:r>
      <w:r w:rsidRPr="00CB0897">
        <w:rPr>
          <w:sz w:val="20"/>
          <w:szCs w:val="20"/>
        </w:rPr>
        <w:t xml:space="preserve"> </w:t>
      </w:r>
    </w:p>
    <w:p w14:paraId="11358726" w14:textId="77777777" w:rsidR="00514C8A" w:rsidRDefault="00514C8A" w:rsidP="00514C8A">
      <w:pPr>
        <w:pStyle w:val="NoSpacing"/>
        <w:numPr>
          <w:ilvl w:val="1"/>
          <w:numId w:val="16"/>
        </w:numPr>
        <w:contextualSpacing/>
        <w:rPr>
          <w:sz w:val="20"/>
          <w:szCs w:val="20"/>
        </w:rPr>
      </w:pPr>
      <w:r>
        <w:rPr>
          <w:sz w:val="20"/>
          <w:szCs w:val="20"/>
        </w:rPr>
        <w:t xml:space="preserve">For </w:t>
      </w:r>
      <w:proofErr w:type="spellStart"/>
      <w:r>
        <w:rPr>
          <w:sz w:val="20"/>
          <w:szCs w:val="20"/>
        </w:rPr>
        <w:t>Vyjuvek</w:t>
      </w:r>
      <w:proofErr w:type="spellEnd"/>
      <w:r>
        <w:rPr>
          <w:sz w:val="20"/>
          <w:szCs w:val="20"/>
        </w:rPr>
        <w:t xml:space="preserve"> and </w:t>
      </w:r>
      <w:proofErr w:type="spellStart"/>
      <w:r>
        <w:rPr>
          <w:sz w:val="20"/>
          <w:szCs w:val="20"/>
        </w:rPr>
        <w:t>Filsuvez</w:t>
      </w:r>
      <w:proofErr w:type="spellEnd"/>
      <w:r>
        <w:rPr>
          <w:sz w:val="20"/>
          <w:szCs w:val="20"/>
        </w:rPr>
        <w:t xml:space="preserve">: </w:t>
      </w:r>
      <w:r w:rsidRPr="00CB0897">
        <w:rPr>
          <w:sz w:val="20"/>
          <w:szCs w:val="20"/>
        </w:rPr>
        <w:t>6 months</w:t>
      </w:r>
      <w:r>
        <w:rPr>
          <w:sz w:val="20"/>
          <w:szCs w:val="20"/>
        </w:rPr>
        <w:t>.</w:t>
      </w:r>
    </w:p>
    <w:p w14:paraId="4D8E6CFC" w14:textId="77777777" w:rsidR="00514C8A" w:rsidRPr="00D0055A" w:rsidRDefault="00514C8A" w:rsidP="00514C8A">
      <w:pPr>
        <w:pStyle w:val="ListParagraph"/>
        <w:numPr>
          <w:ilvl w:val="1"/>
          <w:numId w:val="16"/>
        </w:numPr>
        <w:rPr>
          <w:b/>
          <w:bCs/>
          <w:color w:val="1F497D" w:themeColor="text2"/>
          <w:szCs w:val="20"/>
        </w:rPr>
      </w:pPr>
      <w:r w:rsidRPr="00D0055A">
        <w:rPr>
          <w:rFonts w:cs="Arial"/>
          <w:b/>
          <w:bCs/>
          <w:color w:val="1F497D" w:themeColor="text2"/>
          <w:szCs w:val="20"/>
        </w:rPr>
        <w:t xml:space="preserve">For </w:t>
      </w:r>
      <w:proofErr w:type="spellStart"/>
      <w:r w:rsidRPr="00D0055A">
        <w:rPr>
          <w:rFonts w:cs="Arial"/>
          <w:b/>
          <w:bCs/>
          <w:color w:val="1F497D" w:themeColor="text2"/>
          <w:szCs w:val="20"/>
        </w:rPr>
        <w:t>Zevaskyn</w:t>
      </w:r>
      <w:proofErr w:type="spellEnd"/>
      <w:r w:rsidRPr="00D0055A">
        <w:rPr>
          <w:rFonts w:cs="Arial"/>
          <w:b/>
          <w:bCs/>
          <w:color w:val="1F497D" w:themeColor="text2"/>
          <w:szCs w:val="20"/>
        </w:rPr>
        <w:t>:</w:t>
      </w:r>
      <w:r w:rsidRPr="00D0055A">
        <w:rPr>
          <w:rFonts w:cs="Arial"/>
          <w:color w:val="1F497D" w:themeColor="text2"/>
          <w:szCs w:val="20"/>
        </w:rPr>
        <w:t xml:space="preserve"> </w:t>
      </w:r>
      <w:r w:rsidRPr="00C74F60">
        <w:rPr>
          <w:rFonts w:cs="Arial"/>
          <w:b/>
          <w:bCs/>
          <w:color w:val="1F497D" w:themeColor="text2"/>
          <w:szCs w:val="20"/>
        </w:rPr>
        <w:t>One time approval, retreatment requires new prior authorization</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7C64C506" w14:textId="77777777" w:rsidR="00A4145C" w:rsidRDefault="00A4145C" w:rsidP="00A4145C">
      <w:pPr>
        <w:pStyle w:val="ListParagraph"/>
        <w:numPr>
          <w:ilvl w:val="0"/>
          <w:numId w:val="17"/>
        </w:numPr>
        <w:rPr>
          <w:rFonts w:eastAsia="Arial" w:cs="Arial"/>
          <w:szCs w:val="20"/>
        </w:rPr>
      </w:pPr>
      <w:r>
        <w:rPr>
          <w:rFonts w:eastAsia="Arial" w:cs="Arial"/>
          <w:szCs w:val="20"/>
        </w:rPr>
        <w:t xml:space="preserve">Must meet </w:t>
      </w:r>
      <w:proofErr w:type="gramStart"/>
      <w:r>
        <w:rPr>
          <w:rFonts w:eastAsia="Arial" w:cs="Arial"/>
          <w:szCs w:val="20"/>
        </w:rPr>
        <w:t>all of</w:t>
      </w:r>
      <w:proofErr w:type="gramEnd"/>
      <w:r>
        <w:rPr>
          <w:rFonts w:eastAsia="Arial" w:cs="Arial"/>
          <w:szCs w:val="20"/>
        </w:rPr>
        <w:t xml:space="preserve"> the following for continuation of therapy with </w:t>
      </w:r>
      <w:proofErr w:type="spellStart"/>
      <w:r>
        <w:rPr>
          <w:rFonts w:eastAsia="Arial" w:cs="Arial"/>
          <w:szCs w:val="20"/>
        </w:rPr>
        <w:t>Vyjuvek</w:t>
      </w:r>
      <w:proofErr w:type="spellEnd"/>
      <w:r>
        <w:rPr>
          <w:rFonts w:eastAsia="Arial" w:cs="Arial"/>
          <w:szCs w:val="20"/>
        </w:rPr>
        <w:t xml:space="preserve"> or </w:t>
      </w:r>
      <w:proofErr w:type="spellStart"/>
      <w:r>
        <w:rPr>
          <w:rFonts w:eastAsia="Arial" w:cs="Arial"/>
          <w:szCs w:val="20"/>
        </w:rPr>
        <w:t>Filsuvez</w:t>
      </w:r>
      <w:proofErr w:type="spellEnd"/>
      <w:r>
        <w:rPr>
          <w:rFonts w:eastAsia="Arial" w:cs="Arial"/>
          <w:szCs w:val="20"/>
        </w:rPr>
        <w:t>:</w:t>
      </w:r>
    </w:p>
    <w:p w14:paraId="40E77223" w14:textId="77777777" w:rsidR="00A4145C" w:rsidRPr="007A27A8" w:rsidRDefault="00A4145C" w:rsidP="00A4145C">
      <w:pPr>
        <w:pStyle w:val="ListParagraph"/>
        <w:numPr>
          <w:ilvl w:val="1"/>
          <w:numId w:val="17"/>
        </w:numPr>
        <w:ind w:left="720"/>
        <w:rPr>
          <w:rFonts w:eastAsia="Arial" w:cs="Arial"/>
          <w:color w:val="1F497D" w:themeColor="text2"/>
          <w:szCs w:val="20"/>
        </w:rPr>
      </w:pPr>
      <w:r w:rsidRPr="005924B7">
        <w:rPr>
          <w:rFonts w:eastAsia="Arial" w:cs="Arial"/>
          <w:szCs w:val="20"/>
        </w:rPr>
        <w:t xml:space="preserve">Documented benefit of therapy defined </w:t>
      </w:r>
      <w:r>
        <w:rPr>
          <w:rFonts w:eastAsia="Arial" w:cs="Arial"/>
          <w:szCs w:val="20"/>
        </w:rPr>
        <w:t>by</w:t>
      </w:r>
      <w:r w:rsidRPr="005924B7">
        <w:rPr>
          <w:rFonts w:eastAsia="Arial" w:cs="Arial"/>
          <w:szCs w:val="20"/>
        </w:rPr>
        <w:t xml:space="preserve"> one of the following</w:t>
      </w:r>
      <w:r>
        <w:rPr>
          <w:rFonts w:eastAsia="Arial" w:cs="Arial"/>
          <w:szCs w:val="20"/>
        </w:rPr>
        <w:t xml:space="preserve">, </w:t>
      </w:r>
      <w:r w:rsidRPr="007A27A8">
        <w:rPr>
          <w:rFonts w:eastAsia="Arial" w:cs="Arial"/>
          <w:b/>
          <w:bCs/>
          <w:color w:val="1F497D" w:themeColor="text2"/>
          <w:szCs w:val="20"/>
        </w:rPr>
        <w:t>based on what was utilized for initial approval:</w:t>
      </w:r>
    </w:p>
    <w:p w14:paraId="0A128568" w14:textId="77777777" w:rsidR="00A4145C" w:rsidRPr="00A90F50" w:rsidRDefault="00A4145C" w:rsidP="00A4145C">
      <w:pPr>
        <w:pStyle w:val="ListParagraph"/>
        <w:numPr>
          <w:ilvl w:val="2"/>
          <w:numId w:val="17"/>
        </w:numPr>
        <w:ind w:left="1080"/>
        <w:rPr>
          <w:rFonts w:eastAsia="Arial" w:cs="Arial"/>
          <w:szCs w:val="20"/>
        </w:rPr>
      </w:pPr>
      <w:r w:rsidRPr="00A90F50">
        <w:rPr>
          <w:rFonts w:eastAsia="Arial" w:cs="Arial"/>
          <w:szCs w:val="20"/>
        </w:rPr>
        <w:t xml:space="preserve">Recent (within past 3 months) EBDASI score; </w:t>
      </w:r>
      <w:r w:rsidRPr="00A90F50">
        <w:rPr>
          <w:rFonts w:eastAsia="Arial" w:cs="Arial"/>
          <w:b/>
          <w:bCs/>
          <w:szCs w:val="20"/>
        </w:rPr>
        <w:t>OR</w:t>
      </w:r>
    </w:p>
    <w:p w14:paraId="03948E59" w14:textId="77777777" w:rsidR="00A4145C" w:rsidRPr="007A27A8" w:rsidRDefault="00A4145C" w:rsidP="00A4145C">
      <w:pPr>
        <w:pStyle w:val="ListParagraph"/>
        <w:numPr>
          <w:ilvl w:val="2"/>
          <w:numId w:val="17"/>
        </w:numPr>
        <w:ind w:left="1080"/>
        <w:rPr>
          <w:rFonts w:eastAsia="Arial" w:cs="Arial"/>
          <w:b/>
          <w:bCs/>
          <w:color w:val="1F497D" w:themeColor="text2"/>
          <w:szCs w:val="20"/>
        </w:rPr>
      </w:pPr>
      <w:r w:rsidRPr="007A27A8">
        <w:rPr>
          <w:rFonts w:eastAsia="Arial" w:cs="Arial"/>
          <w:b/>
          <w:bCs/>
          <w:color w:val="1F497D" w:themeColor="text2"/>
          <w:szCs w:val="20"/>
        </w:rPr>
        <w:t>Documented number and size of wounds, showing improvement from baseline.</w:t>
      </w:r>
    </w:p>
    <w:p w14:paraId="7F5F32A1" w14:textId="6A6829C7" w:rsidR="00A4145C" w:rsidRDefault="00A4145C" w:rsidP="00A4145C">
      <w:pPr>
        <w:pStyle w:val="ListParagraph"/>
        <w:numPr>
          <w:ilvl w:val="0"/>
          <w:numId w:val="17"/>
        </w:numPr>
        <w:rPr>
          <w:rFonts w:eastAsia="Arial" w:cs="Arial"/>
          <w:szCs w:val="20"/>
        </w:rPr>
      </w:pPr>
      <w:r w:rsidRPr="007B32B4">
        <w:rPr>
          <w:rFonts w:eastAsia="Arial" w:cs="Arial"/>
          <w:szCs w:val="20"/>
        </w:rPr>
        <w:t>Contin</w:t>
      </w:r>
      <w:r>
        <w:rPr>
          <w:rFonts w:eastAsia="Arial" w:cs="Arial"/>
          <w:szCs w:val="20"/>
        </w:rPr>
        <w:t>uation</w:t>
      </w:r>
      <w:r w:rsidRPr="007B32B4">
        <w:rPr>
          <w:rFonts w:eastAsia="Arial" w:cs="Arial"/>
          <w:szCs w:val="20"/>
        </w:rPr>
        <w:t xml:space="preserve"> approval </w:t>
      </w:r>
      <w:r>
        <w:rPr>
          <w:rFonts w:eastAsia="Arial" w:cs="Arial"/>
          <w:szCs w:val="20"/>
        </w:rPr>
        <w:t xml:space="preserve">period for </w:t>
      </w:r>
      <w:proofErr w:type="spellStart"/>
      <w:r>
        <w:rPr>
          <w:rFonts w:eastAsia="Arial" w:cs="Arial"/>
          <w:szCs w:val="20"/>
        </w:rPr>
        <w:t>Vyjuvek</w:t>
      </w:r>
      <w:proofErr w:type="spellEnd"/>
      <w:r>
        <w:rPr>
          <w:rFonts w:eastAsia="Arial" w:cs="Arial"/>
          <w:szCs w:val="20"/>
        </w:rPr>
        <w:t xml:space="preserve"> or </w:t>
      </w:r>
      <w:proofErr w:type="spellStart"/>
      <w:r>
        <w:rPr>
          <w:rFonts w:eastAsia="Arial" w:cs="Arial"/>
          <w:szCs w:val="20"/>
        </w:rPr>
        <w:t>Filsuvez</w:t>
      </w:r>
      <w:proofErr w:type="spellEnd"/>
      <w:r>
        <w:rPr>
          <w:rFonts w:eastAsia="Arial" w:cs="Arial"/>
          <w:szCs w:val="20"/>
        </w:rPr>
        <w:t>:</w:t>
      </w:r>
      <w:r w:rsidRPr="007B32B4">
        <w:rPr>
          <w:rFonts w:eastAsia="Arial" w:cs="Arial"/>
          <w:szCs w:val="20"/>
        </w:rPr>
        <w:t xml:space="preserve"> 6 months</w:t>
      </w:r>
    </w:p>
    <w:p w14:paraId="5D6BBA5E" w14:textId="77777777" w:rsidR="00A4145C" w:rsidRPr="00A4145C" w:rsidRDefault="00A4145C" w:rsidP="00A4145C">
      <w:pPr>
        <w:rPr>
          <w:rFonts w:eastAsia="Arial"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65E01419" w14:textId="77777777" w:rsidR="00E85838" w:rsidRDefault="00E85838" w:rsidP="00E85838">
      <w:pPr>
        <w:pStyle w:val="ListParagraph"/>
        <w:numPr>
          <w:ilvl w:val="1"/>
          <w:numId w:val="19"/>
        </w:numPr>
        <w:rPr>
          <w:rFonts w:cs="Arial"/>
          <w:noProof/>
          <w:szCs w:val="20"/>
        </w:rPr>
      </w:pPr>
      <w:r>
        <w:rPr>
          <w:rFonts w:cs="Arial"/>
          <w:noProof/>
          <w:szCs w:val="20"/>
        </w:rPr>
        <w:t>Any</w:t>
      </w:r>
      <w:r w:rsidRPr="006A6A2C">
        <w:rPr>
          <w:rFonts w:cs="Arial"/>
          <w:noProof/>
          <w:szCs w:val="20"/>
        </w:rPr>
        <w:t xml:space="preserve"> approval criteria are not met</w:t>
      </w:r>
      <w:r>
        <w:rPr>
          <w:rFonts w:cs="Arial"/>
          <w:noProof/>
          <w:szCs w:val="20"/>
        </w:rPr>
        <w:t>;</w:t>
      </w:r>
    </w:p>
    <w:p w14:paraId="606FF173" w14:textId="77777777" w:rsidR="00E85838" w:rsidRPr="00A90F50" w:rsidRDefault="00E85838" w:rsidP="00E85838">
      <w:pPr>
        <w:pStyle w:val="ListParagraph"/>
        <w:numPr>
          <w:ilvl w:val="1"/>
          <w:numId w:val="19"/>
        </w:numPr>
        <w:rPr>
          <w:rFonts w:cs="Arial"/>
          <w:bCs/>
          <w:noProof/>
          <w:szCs w:val="20"/>
        </w:rPr>
      </w:pPr>
      <w:r w:rsidRPr="00A90F50">
        <w:rPr>
          <w:rFonts w:eastAsia="Arial" w:cs="Arial"/>
          <w:bCs/>
          <w:szCs w:val="20"/>
        </w:rPr>
        <w:t xml:space="preserve">Participant (female of childbearing age) is </w:t>
      </w:r>
      <w:proofErr w:type="gramStart"/>
      <w:r w:rsidRPr="00A90F50">
        <w:rPr>
          <w:rFonts w:eastAsia="Arial" w:cs="Arial"/>
          <w:bCs/>
          <w:szCs w:val="20"/>
        </w:rPr>
        <w:t>pregnant;</w:t>
      </w:r>
      <w:proofErr w:type="gramEnd"/>
    </w:p>
    <w:p w14:paraId="418EB7F9" w14:textId="77777777" w:rsidR="00E85838" w:rsidRPr="00A90F50" w:rsidRDefault="00E85838" w:rsidP="00E85838">
      <w:pPr>
        <w:pStyle w:val="ListParagraph"/>
        <w:numPr>
          <w:ilvl w:val="1"/>
          <w:numId w:val="19"/>
        </w:numPr>
        <w:rPr>
          <w:rFonts w:cs="Arial"/>
          <w:bCs/>
          <w:noProof/>
          <w:szCs w:val="20"/>
        </w:rPr>
      </w:pPr>
      <w:r w:rsidRPr="00A90F50">
        <w:rPr>
          <w:rFonts w:cs="Arial"/>
          <w:bCs/>
          <w:noProof/>
          <w:szCs w:val="20"/>
        </w:rPr>
        <w:t>Claim exceeds maximum dosing limitation for the following:</w:t>
      </w:r>
    </w:p>
    <w:tbl>
      <w:tblPr>
        <w:tblStyle w:val="TableGrid"/>
        <w:tblW w:w="0" w:type="auto"/>
        <w:tblInd w:w="360" w:type="dxa"/>
        <w:tblLook w:val="04A0" w:firstRow="1" w:lastRow="0" w:firstColumn="1" w:lastColumn="0" w:noHBand="0" w:noVBand="1"/>
      </w:tblPr>
      <w:tblGrid>
        <w:gridCol w:w="2155"/>
        <w:gridCol w:w="3780"/>
        <w:gridCol w:w="2610"/>
      </w:tblGrid>
      <w:tr w:rsidR="00E85838" w:rsidRPr="00A90F50" w14:paraId="5D0467DA" w14:textId="77777777" w:rsidTr="006B2071">
        <w:tc>
          <w:tcPr>
            <w:tcW w:w="2155" w:type="dxa"/>
            <w:shd w:val="clear" w:color="auto" w:fill="FABF8F" w:themeFill="accent6" w:themeFillTint="99"/>
          </w:tcPr>
          <w:p w14:paraId="1B349437" w14:textId="77777777" w:rsidR="00E85838" w:rsidRPr="00A90F50" w:rsidRDefault="00E85838" w:rsidP="006B2071">
            <w:pPr>
              <w:pStyle w:val="ListParagraph"/>
              <w:ind w:left="0"/>
              <w:rPr>
                <w:rFonts w:cs="Arial"/>
                <w:b/>
                <w:noProof/>
                <w:szCs w:val="20"/>
              </w:rPr>
            </w:pPr>
            <w:r w:rsidRPr="00A90F50">
              <w:rPr>
                <w:rFonts w:cs="Arial"/>
                <w:b/>
                <w:noProof/>
                <w:szCs w:val="20"/>
              </w:rPr>
              <w:t>Drug Description</w:t>
            </w:r>
          </w:p>
        </w:tc>
        <w:tc>
          <w:tcPr>
            <w:tcW w:w="3780" w:type="dxa"/>
            <w:shd w:val="clear" w:color="auto" w:fill="FABF8F" w:themeFill="accent6" w:themeFillTint="99"/>
          </w:tcPr>
          <w:p w14:paraId="4B26C3C4" w14:textId="77777777" w:rsidR="00E85838" w:rsidRPr="00A90F50" w:rsidRDefault="00E85838" w:rsidP="006B2071">
            <w:pPr>
              <w:pStyle w:val="ListParagraph"/>
              <w:ind w:left="0"/>
              <w:rPr>
                <w:rFonts w:cs="Arial"/>
                <w:b/>
                <w:noProof/>
                <w:szCs w:val="20"/>
              </w:rPr>
            </w:pPr>
            <w:r w:rsidRPr="00A90F50">
              <w:rPr>
                <w:rFonts w:cs="Arial"/>
                <w:b/>
                <w:noProof/>
                <w:szCs w:val="20"/>
              </w:rPr>
              <w:t>Generic Equivalent</w:t>
            </w:r>
          </w:p>
        </w:tc>
        <w:tc>
          <w:tcPr>
            <w:tcW w:w="2610" w:type="dxa"/>
            <w:shd w:val="clear" w:color="auto" w:fill="FABF8F" w:themeFill="accent6" w:themeFillTint="99"/>
          </w:tcPr>
          <w:p w14:paraId="2931227A" w14:textId="77777777" w:rsidR="00E85838" w:rsidRPr="00A90F50" w:rsidRDefault="00E85838" w:rsidP="006B2071">
            <w:pPr>
              <w:pStyle w:val="ListParagraph"/>
              <w:ind w:left="0"/>
              <w:rPr>
                <w:rFonts w:cs="Arial"/>
                <w:b/>
                <w:noProof/>
                <w:szCs w:val="20"/>
              </w:rPr>
            </w:pPr>
            <w:r w:rsidRPr="00A90F50">
              <w:rPr>
                <w:rFonts w:cs="Arial"/>
                <w:b/>
                <w:noProof/>
                <w:szCs w:val="20"/>
              </w:rPr>
              <w:t>Max Dosing Limitation</w:t>
            </w:r>
          </w:p>
        </w:tc>
      </w:tr>
      <w:tr w:rsidR="00E85838" w:rsidRPr="00A90F50" w14:paraId="4C4E2E2C" w14:textId="77777777" w:rsidTr="006B2071">
        <w:tc>
          <w:tcPr>
            <w:tcW w:w="2155" w:type="dxa"/>
          </w:tcPr>
          <w:p w14:paraId="0D11059E" w14:textId="77777777" w:rsidR="00E85838" w:rsidRPr="00A90F50" w:rsidRDefault="00E85838" w:rsidP="006B2071">
            <w:pPr>
              <w:pStyle w:val="ListParagraph"/>
              <w:ind w:left="0"/>
              <w:rPr>
                <w:rFonts w:cs="Arial"/>
                <w:bCs/>
                <w:noProof/>
                <w:szCs w:val="20"/>
              </w:rPr>
            </w:pPr>
            <w:r w:rsidRPr="00A90F50">
              <w:rPr>
                <w:rFonts w:cs="Arial"/>
                <w:bCs/>
                <w:caps/>
                <w:szCs w:val="20"/>
              </w:rPr>
              <w:t>FILSUVEZ 10% GEL</w:t>
            </w:r>
          </w:p>
        </w:tc>
        <w:tc>
          <w:tcPr>
            <w:tcW w:w="3780" w:type="dxa"/>
          </w:tcPr>
          <w:p w14:paraId="611135B2" w14:textId="77777777" w:rsidR="00E85838" w:rsidRPr="00A90F50" w:rsidRDefault="00E85838" w:rsidP="006B2071">
            <w:pPr>
              <w:pStyle w:val="ListParagraph"/>
              <w:ind w:left="0"/>
              <w:rPr>
                <w:rFonts w:cs="Arial"/>
                <w:bCs/>
                <w:noProof/>
                <w:szCs w:val="20"/>
              </w:rPr>
            </w:pPr>
            <w:r w:rsidRPr="00A90F50">
              <w:rPr>
                <w:rFonts w:cs="Arial"/>
                <w:bCs/>
                <w:caps/>
                <w:szCs w:val="20"/>
              </w:rPr>
              <w:t>BIRCH BARK EXTRACT</w:t>
            </w:r>
          </w:p>
        </w:tc>
        <w:tc>
          <w:tcPr>
            <w:tcW w:w="2610" w:type="dxa"/>
          </w:tcPr>
          <w:p w14:paraId="6C45C973" w14:textId="77777777" w:rsidR="00E85838" w:rsidRPr="00A90F50" w:rsidRDefault="00E85838" w:rsidP="006B2071">
            <w:pPr>
              <w:pStyle w:val="ListParagraph"/>
              <w:ind w:left="0"/>
              <w:rPr>
                <w:rFonts w:cs="Arial"/>
                <w:bCs/>
                <w:noProof/>
                <w:szCs w:val="20"/>
              </w:rPr>
            </w:pPr>
            <w:r w:rsidRPr="00A90F50">
              <w:rPr>
                <w:rFonts w:cs="Arial"/>
                <w:bCs/>
                <w:szCs w:val="20"/>
              </w:rPr>
              <w:t>1 tube (23.4 gm) per day</w:t>
            </w:r>
          </w:p>
        </w:tc>
      </w:tr>
      <w:tr w:rsidR="00E85838" w:rsidRPr="00A90F50" w14:paraId="0D8EEEBE" w14:textId="77777777" w:rsidTr="006B2071">
        <w:tc>
          <w:tcPr>
            <w:tcW w:w="2155" w:type="dxa"/>
          </w:tcPr>
          <w:p w14:paraId="6E4E2F50" w14:textId="77777777" w:rsidR="00E85838" w:rsidRPr="00CA005E" w:rsidRDefault="00E85838" w:rsidP="006B2071">
            <w:pPr>
              <w:pStyle w:val="ListParagraph"/>
              <w:ind w:left="0"/>
              <w:rPr>
                <w:rFonts w:cs="Arial"/>
                <w:b/>
                <w:bCs/>
                <w:caps/>
                <w:color w:val="1F497D" w:themeColor="text2"/>
                <w:szCs w:val="20"/>
              </w:rPr>
            </w:pPr>
            <w:r w:rsidRPr="00CA005E">
              <w:rPr>
                <w:rFonts w:cs="Arial"/>
                <w:b/>
                <w:bCs/>
                <w:color w:val="1F497D" w:themeColor="text2"/>
                <w:szCs w:val="20"/>
              </w:rPr>
              <w:t>VYJUVEK GEL</w:t>
            </w:r>
          </w:p>
        </w:tc>
        <w:tc>
          <w:tcPr>
            <w:tcW w:w="3780" w:type="dxa"/>
          </w:tcPr>
          <w:p w14:paraId="487A0E64" w14:textId="77777777" w:rsidR="00E85838" w:rsidRPr="00CA005E" w:rsidRDefault="00E85838" w:rsidP="006B2071">
            <w:pPr>
              <w:pStyle w:val="ListParagraph"/>
              <w:ind w:left="0"/>
              <w:rPr>
                <w:rFonts w:cs="Arial"/>
                <w:b/>
                <w:bCs/>
                <w:caps/>
                <w:color w:val="1F497D" w:themeColor="text2"/>
                <w:szCs w:val="20"/>
              </w:rPr>
            </w:pPr>
            <w:r w:rsidRPr="00CA005E">
              <w:rPr>
                <w:rFonts w:cs="Arial"/>
                <w:b/>
                <w:bCs/>
                <w:caps/>
                <w:color w:val="1F497D" w:themeColor="text2"/>
                <w:szCs w:val="20"/>
              </w:rPr>
              <w:t>beremagene geperpavec-svdt</w:t>
            </w:r>
          </w:p>
        </w:tc>
        <w:tc>
          <w:tcPr>
            <w:tcW w:w="2610" w:type="dxa"/>
          </w:tcPr>
          <w:p w14:paraId="0D86F5C3" w14:textId="77777777" w:rsidR="00E85838" w:rsidRPr="00CA005E" w:rsidRDefault="00E85838" w:rsidP="006B2071">
            <w:pPr>
              <w:pStyle w:val="ListParagraph"/>
              <w:ind w:left="0"/>
              <w:rPr>
                <w:rFonts w:cs="Arial"/>
                <w:b/>
                <w:bCs/>
                <w:color w:val="1F497D" w:themeColor="text2"/>
                <w:szCs w:val="20"/>
              </w:rPr>
            </w:pPr>
            <w:r w:rsidRPr="00CA005E">
              <w:rPr>
                <w:rFonts w:cs="Arial"/>
                <w:b/>
                <w:bCs/>
                <w:color w:val="1F497D" w:themeColor="text2"/>
                <w:szCs w:val="20"/>
              </w:rPr>
              <w:t>2.5 mL per 7 days</w:t>
            </w:r>
          </w:p>
        </w:tc>
      </w:tr>
    </w:tbl>
    <w:p w14:paraId="3F69ABA4" w14:textId="77777777" w:rsidR="00E85838" w:rsidRPr="007A27A8" w:rsidRDefault="00E85838" w:rsidP="00E85838">
      <w:pPr>
        <w:pStyle w:val="ListParagraph"/>
        <w:numPr>
          <w:ilvl w:val="0"/>
          <w:numId w:val="19"/>
        </w:numPr>
        <w:rPr>
          <w:rFonts w:cs="Arial"/>
          <w:b/>
          <w:bCs/>
          <w:noProof/>
          <w:color w:val="1F497D" w:themeColor="text2"/>
          <w:szCs w:val="20"/>
        </w:rPr>
      </w:pPr>
      <w:r w:rsidRPr="007A27A8">
        <w:rPr>
          <w:rFonts w:cs="Arial"/>
          <w:b/>
          <w:bCs/>
          <w:noProof/>
          <w:color w:val="1F497D" w:themeColor="text2"/>
          <w:szCs w:val="20"/>
        </w:rPr>
        <w:t>Additional denial criteria for Zevaskyn:</w:t>
      </w:r>
    </w:p>
    <w:p w14:paraId="53EA8A65" w14:textId="77777777" w:rsidR="00E85838" w:rsidRPr="007A27A8" w:rsidRDefault="00E85838" w:rsidP="00E85838">
      <w:pPr>
        <w:pStyle w:val="ListParagraph"/>
        <w:numPr>
          <w:ilvl w:val="1"/>
          <w:numId w:val="19"/>
        </w:numPr>
        <w:rPr>
          <w:rFonts w:cs="Arial"/>
          <w:b/>
          <w:bCs/>
          <w:noProof/>
          <w:color w:val="1F497D" w:themeColor="text2"/>
          <w:szCs w:val="20"/>
        </w:rPr>
      </w:pPr>
      <w:r w:rsidRPr="007A27A8">
        <w:rPr>
          <w:rFonts w:cs="Arial"/>
          <w:b/>
          <w:bCs/>
          <w:noProof/>
          <w:color w:val="1F497D" w:themeColor="text2"/>
          <w:szCs w:val="20"/>
        </w:rPr>
        <w:t>Documented diagnosis of dominant dystrophic epidermolysis bullosa (DDEB).</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29FD362E" w:rsidR="00343D6B" w:rsidRPr="00C02553" w:rsidRDefault="00343D6B" w:rsidP="00696E3A">
      <w:r w:rsidRPr="00696E3A">
        <w:rPr>
          <w:b/>
          <w:bCs/>
        </w:rPr>
        <w:t>Default Approval Period:</w:t>
      </w:r>
      <w:r w:rsidR="00973BD6">
        <w:t xml:space="preserve"> </w:t>
      </w:r>
      <w:r w:rsidR="00E85838">
        <w:t>6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52D709F" w14:textId="77777777" w:rsidR="00C3693E" w:rsidRPr="00661BA5" w:rsidRDefault="00C3693E" w:rsidP="00C3693E">
      <w:pPr>
        <w:pStyle w:val="ListParagraph"/>
        <w:rPr>
          <w:shd w:val="clear" w:color="auto" w:fill="FFFFFF"/>
        </w:rPr>
      </w:pPr>
      <w:proofErr w:type="spellStart"/>
      <w:r w:rsidRPr="00661BA5">
        <w:rPr>
          <w:shd w:val="clear" w:color="auto" w:fill="FFFFFF"/>
        </w:rPr>
        <w:t>Vyjuvek</w:t>
      </w:r>
      <w:proofErr w:type="spellEnd"/>
      <w:r w:rsidRPr="006C3529">
        <w:rPr>
          <w:shd w:val="clear" w:color="auto" w:fill="FFFFFF"/>
          <w:vertAlign w:val="superscript"/>
        </w:rPr>
        <w:t>®</w:t>
      </w:r>
      <w:r w:rsidRPr="00661BA5">
        <w:rPr>
          <w:shd w:val="clear" w:color="auto" w:fill="FFFFFF"/>
        </w:rPr>
        <w:t xml:space="preserve"> (</w:t>
      </w:r>
      <w:proofErr w:type="spellStart"/>
      <w:r w:rsidRPr="00661BA5">
        <w:rPr>
          <w:shd w:val="clear" w:color="auto" w:fill="FFFFFF"/>
        </w:rPr>
        <w:t>beremagene</w:t>
      </w:r>
      <w:proofErr w:type="spellEnd"/>
      <w:r w:rsidRPr="00661BA5">
        <w:rPr>
          <w:shd w:val="clear" w:color="auto" w:fill="FFFFFF"/>
        </w:rPr>
        <w:t xml:space="preserve"> </w:t>
      </w:r>
      <w:proofErr w:type="spellStart"/>
      <w:r w:rsidRPr="00661BA5">
        <w:rPr>
          <w:shd w:val="clear" w:color="auto" w:fill="FFFFFF"/>
        </w:rPr>
        <w:t>g</w:t>
      </w:r>
      <w:r>
        <w:rPr>
          <w:shd w:val="clear" w:color="auto" w:fill="FFFFFF"/>
        </w:rPr>
        <w:t>e</w:t>
      </w:r>
      <w:r w:rsidRPr="00661BA5">
        <w:rPr>
          <w:shd w:val="clear" w:color="auto" w:fill="FFFFFF"/>
        </w:rPr>
        <w:t>perpavec-svdt</w:t>
      </w:r>
      <w:proofErr w:type="spellEnd"/>
      <w:r w:rsidRPr="00661BA5">
        <w:rPr>
          <w:shd w:val="clear" w:color="auto" w:fill="FFFFFF"/>
        </w:rPr>
        <w:t xml:space="preserve">) [package insert]. Pittsburgh, PA: Krystal Biotech, Inc.; </w:t>
      </w:r>
      <w:r>
        <w:rPr>
          <w:shd w:val="clear" w:color="auto" w:fill="FFFFFF"/>
        </w:rPr>
        <w:t>September 2025.</w:t>
      </w:r>
      <w:r w:rsidRPr="00661BA5">
        <w:rPr>
          <w:shd w:val="clear" w:color="auto" w:fill="FFFFFF"/>
        </w:rPr>
        <w:t xml:space="preserve"> </w:t>
      </w:r>
    </w:p>
    <w:p w14:paraId="6B4688AF" w14:textId="77777777" w:rsidR="00C3693E" w:rsidRDefault="00C3693E" w:rsidP="00C3693E">
      <w:pPr>
        <w:pStyle w:val="ListParagraph"/>
        <w:rPr>
          <w:shd w:val="clear" w:color="auto" w:fill="FFFFFF"/>
        </w:rPr>
      </w:pPr>
      <w:r w:rsidRPr="00661BA5">
        <w:rPr>
          <w:shd w:val="clear" w:color="auto" w:fill="FFFFFF"/>
        </w:rPr>
        <w:t xml:space="preserve">NIH: U.S. National Library of Medicine. Ph 3 Efficacy and Safety of B-VEC for the Treatment of DEB (GEM-3). Accessed June 16, 2023. </w:t>
      </w:r>
    </w:p>
    <w:p w14:paraId="0BF68468" w14:textId="77777777" w:rsidR="00C3693E" w:rsidRPr="003B3544" w:rsidRDefault="00C3693E" w:rsidP="00C3693E">
      <w:pPr>
        <w:pStyle w:val="ListParagraph"/>
        <w:rPr>
          <w:shd w:val="clear" w:color="auto" w:fill="FFFFFF"/>
        </w:rPr>
      </w:pPr>
      <w:r w:rsidRPr="00FE65D6">
        <w:rPr>
          <w:shd w:val="clear" w:color="auto" w:fill="FFFFFF"/>
        </w:rPr>
        <w:t xml:space="preserve">IPD analytics. New drug review. </w:t>
      </w:r>
      <w:proofErr w:type="spellStart"/>
      <w:r>
        <w:rPr>
          <w:shd w:val="clear" w:color="auto" w:fill="FFFFFF"/>
        </w:rPr>
        <w:t>Vyjuvek</w:t>
      </w:r>
      <w:proofErr w:type="spellEnd"/>
      <w:r>
        <w:rPr>
          <w:shd w:val="clear" w:color="auto" w:fill="FFFFFF"/>
        </w:rPr>
        <w:t>.</w:t>
      </w:r>
      <w:r w:rsidRPr="00FE65D6">
        <w:rPr>
          <w:shd w:val="clear" w:color="auto" w:fill="FFFFFF"/>
        </w:rPr>
        <w:t xml:space="preserve"> </w:t>
      </w:r>
      <w:r>
        <w:rPr>
          <w:shd w:val="clear" w:color="auto" w:fill="FFFFFF"/>
        </w:rPr>
        <w:t>July</w:t>
      </w:r>
      <w:r w:rsidRPr="00FE65D6">
        <w:rPr>
          <w:shd w:val="clear" w:color="auto" w:fill="FFFFFF"/>
        </w:rPr>
        <w:t xml:space="preserve"> 2023.</w:t>
      </w:r>
    </w:p>
    <w:p w14:paraId="0B4253BD" w14:textId="77777777" w:rsidR="00C3693E" w:rsidRPr="00661BA5" w:rsidRDefault="00C3693E" w:rsidP="00C3693E">
      <w:pPr>
        <w:pStyle w:val="ListParagraph"/>
        <w:rPr>
          <w:shd w:val="clear" w:color="auto" w:fill="FFFFFF"/>
        </w:rPr>
      </w:pPr>
      <w:proofErr w:type="spellStart"/>
      <w:r w:rsidRPr="00661BA5">
        <w:rPr>
          <w:shd w:val="clear" w:color="auto" w:fill="FFFFFF"/>
        </w:rPr>
        <w:t>Laimer</w:t>
      </w:r>
      <w:proofErr w:type="spellEnd"/>
      <w:r w:rsidRPr="00661BA5">
        <w:rPr>
          <w:shd w:val="clear" w:color="auto" w:fill="FFFFFF"/>
        </w:rPr>
        <w:t xml:space="preserve"> M, Bauer J, Murrel D. Epidermolysis bullosa: Epidemiology, pathogenesis, classification, and clinical features. UpToDate. Accessed June 16, 2023. </w:t>
      </w:r>
    </w:p>
    <w:p w14:paraId="0A9337DB" w14:textId="77777777" w:rsidR="00C3693E" w:rsidRDefault="00C3693E" w:rsidP="00C3693E">
      <w:pPr>
        <w:pStyle w:val="ListParagraph"/>
        <w:rPr>
          <w:shd w:val="clear" w:color="auto" w:fill="FFFFFF"/>
        </w:rPr>
      </w:pPr>
      <w:r w:rsidRPr="00661BA5">
        <w:rPr>
          <w:shd w:val="clear" w:color="auto" w:fill="FFFFFF"/>
        </w:rPr>
        <w:t xml:space="preserve">Murrell D. Overview of the management of epidermolysis bullosa. UpToDate. Accessed June 16, 2023. </w:t>
      </w:r>
    </w:p>
    <w:p w14:paraId="4CD276E5" w14:textId="77777777" w:rsidR="00C3693E" w:rsidRPr="00661BA5" w:rsidRDefault="00C3693E" w:rsidP="00C3693E">
      <w:pPr>
        <w:pStyle w:val="ListParagraph"/>
        <w:rPr>
          <w:shd w:val="clear" w:color="auto" w:fill="FFFFFF"/>
        </w:rPr>
      </w:pPr>
      <w:proofErr w:type="spellStart"/>
      <w:r w:rsidRPr="007E720E">
        <w:rPr>
          <w:shd w:val="clear" w:color="auto" w:fill="FFFFFF"/>
        </w:rPr>
        <w:t>Filsuvez</w:t>
      </w:r>
      <w:proofErr w:type="spellEnd"/>
      <w:r w:rsidRPr="007E720E">
        <w:rPr>
          <w:shd w:val="clear" w:color="auto" w:fill="FFFFFF"/>
        </w:rPr>
        <w:t xml:space="preserve">® (birch triterpenes) [package insert]. </w:t>
      </w:r>
      <w:proofErr w:type="spellStart"/>
      <w:r w:rsidRPr="007E720E">
        <w:rPr>
          <w:shd w:val="clear" w:color="auto" w:fill="FFFFFF"/>
        </w:rPr>
        <w:t>Wahlstedt</w:t>
      </w:r>
      <w:proofErr w:type="spellEnd"/>
      <w:r w:rsidRPr="007E720E">
        <w:rPr>
          <w:shd w:val="clear" w:color="auto" w:fill="FFFFFF"/>
        </w:rPr>
        <w:t xml:space="preserve">, Germany: </w:t>
      </w:r>
      <w:proofErr w:type="spellStart"/>
      <w:r w:rsidRPr="007E720E">
        <w:rPr>
          <w:shd w:val="clear" w:color="auto" w:fill="FFFFFF"/>
        </w:rPr>
        <w:t>Lichtenheldt</w:t>
      </w:r>
      <w:proofErr w:type="spellEnd"/>
      <w:r w:rsidRPr="007E720E">
        <w:rPr>
          <w:shd w:val="clear" w:color="auto" w:fill="FFFFFF"/>
        </w:rPr>
        <w:t xml:space="preserve"> GmbH; January 2024.</w:t>
      </w:r>
    </w:p>
    <w:p w14:paraId="4127FAB8" w14:textId="77777777" w:rsidR="00C3693E" w:rsidRPr="00911103" w:rsidRDefault="00C3693E" w:rsidP="00C3693E">
      <w:pPr>
        <w:pStyle w:val="ListParagraph"/>
        <w:rPr>
          <w:shd w:val="clear" w:color="auto" w:fill="FFFFFF"/>
        </w:rPr>
      </w:pPr>
      <w:proofErr w:type="spellStart"/>
      <w:r w:rsidRPr="00911103">
        <w:rPr>
          <w:shd w:val="clear" w:color="auto" w:fill="FFFFFF"/>
        </w:rPr>
        <w:t>Zevaskyn</w:t>
      </w:r>
      <w:proofErr w:type="spellEnd"/>
      <w:r w:rsidRPr="00911103">
        <w:rPr>
          <w:shd w:val="clear" w:color="auto" w:fill="FFFFFF"/>
        </w:rPr>
        <w:t>™ (</w:t>
      </w:r>
      <w:proofErr w:type="spellStart"/>
      <w:r w:rsidRPr="00911103">
        <w:rPr>
          <w:shd w:val="clear" w:color="auto" w:fill="FFFFFF"/>
        </w:rPr>
        <w:t>prademagene</w:t>
      </w:r>
      <w:proofErr w:type="spellEnd"/>
      <w:r w:rsidRPr="00911103">
        <w:rPr>
          <w:shd w:val="clear" w:color="auto" w:fill="FFFFFF"/>
        </w:rPr>
        <w:t xml:space="preserve"> </w:t>
      </w:r>
      <w:proofErr w:type="spellStart"/>
      <w:r w:rsidRPr="00911103">
        <w:rPr>
          <w:shd w:val="clear" w:color="auto" w:fill="FFFFFF"/>
        </w:rPr>
        <w:t>zamikeracel</w:t>
      </w:r>
      <w:proofErr w:type="spellEnd"/>
      <w:r w:rsidRPr="00911103">
        <w:rPr>
          <w:shd w:val="clear" w:color="auto" w:fill="FFFFFF"/>
        </w:rPr>
        <w:t xml:space="preserve">) [package insert]. Cleveland, Ohio. Abeona Therapeutics, Inc. April 2025. </w:t>
      </w:r>
    </w:p>
    <w:p w14:paraId="35CA4248" w14:textId="77777777" w:rsidR="00C3693E" w:rsidRPr="00911103" w:rsidRDefault="00C3693E" w:rsidP="00C3693E">
      <w:pPr>
        <w:pStyle w:val="ListParagraph"/>
        <w:rPr>
          <w:rFonts w:cs="Arial"/>
          <w:bCs/>
          <w:sz w:val="18"/>
          <w:szCs w:val="18"/>
          <w:shd w:val="clear" w:color="auto" w:fill="FFFFFF"/>
        </w:rPr>
      </w:pPr>
      <w:r w:rsidRPr="00911103">
        <w:rPr>
          <w:rFonts w:cs="Arial"/>
          <w:bCs/>
          <w:sz w:val="18"/>
          <w:szCs w:val="18"/>
          <w:shd w:val="clear" w:color="auto" w:fill="FFFFFF"/>
        </w:rPr>
        <w:t xml:space="preserve">Epidermolysis Bullosa. National Organization for Rare Disorders. </w:t>
      </w:r>
      <w:hyperlink r:id="rId11" w:tooltip="Link to Rare Diseases.org Epidermolysis Bullosa" w:history="1">
        <w:r w:rsidRPr="009F08B8">
          <w:rPr>
            <w:rStyle w:val="Hyperlink"/>
            <w:rFonts w:cs="Arial"/>
            <w:bCs/>
            <w:sz w:val="18"/>
            <w:szCs w:val="18"/>
            <w:shd w:val="clear" w:color="auto" w:fill="FFFFFF"/>
          </w:rPr>
          <w:t>https://rarediseases.org/rare-diseases/epidermolysis-bullosa</w:t>
        </w:r>
      </w:hyperlink>
      <w:r w:rsidRPr="00911103">
        <w:rPr>
          <w:rFonts w:cs="Arial"/>
          <w:bCs/>
          <w:sz w:val="18"/>
          <w:szCs w:val="18"/>
          <w:shd w:val="clear" w:color="auto" w:fill="FFFFFF"/>
        </w:rPr>
        <w:t xml:space="preserve">. Last Updated May 19, 2025. Accessed July 17, 2025. </w:t>
      </w:r>
    </w:p>
    <w:p w14:paraId="3FA1E7DB" w14:textId="6A772715" w:rsidR="00777CA4" w:rsidRPr="00C3693E" w:rsidRDefault="00C3693E" w:rsidP="00C3693E">
      <w:pPr>
        <w:pStyle w:val="ListParagraph"/>
        <w:rPr>
          <w:shd w:val="clear" w:color="auto" w:fill="FFFFFF"/>
        </w:rPr>
      </w:pPr>
      <w:r w:rsidRPr="00911103">
        <w:rPr>
          <w:shd w:val="clear" w:color="auto" w:fill="FFFFFF"/>
        </w:rPr>
        <w:t xml:space="preserve">IPD Analytics: Epidermolysis Bullosa: Disease Overview and Late-Stage Pipeline. Accessed July 17, 2025 </w:t>
      </w:r>
    </w:p>
    <w:sectPr w:rsidR="00777CA4" w:rsidRPr="00C3693E"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319AE" w14:textId="77777777" w:rsidR="00085A96" w:rsidRPr="00C02553" w:rsidRDefault="00085A96" w:rsidP="00AE77DB">
      <w:r w:rsidRPr="00C02553">
        <w:separator/>
      </w:r>
    </w:p>
  </w:endnote>
  <w:endnote w:type="continuationSeparator" w:id="0">
    <w:p w14:paraId="612AD138" w14:textId="77777777" w:rsidR="00085A96" w:rsidRPr="00C02553" w:rsidRDefault="00085A96" w:rsidP="00AE77DB">
      <w:r w:rsidRPr="00C02553">
        <w:continuationSeparator/>
      </w:r>
    </w:p>
  </w:endnote>
  <w:endnote w:type="continuationNotice" w:id="1">
    <w:p w14:paraId="71D01A61" w14:textId="77777777" w:rsidR="00085A96" w:rsidRPr="00C02553" w:rsidRDefault="00085A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4EDA0" w14:textId="77777777" w:rsidR="00085A96" w:rsidRPr="00C02553" w:rsidRDefault="00085A96" w:rsidP="00AE77DB">
      <w:r w:rsidRPr="00C02553">
        <w:separator/>
      </w:r>
    </w:p>
  </w:footnote>
  <w:footnote w:type="continuationSeparator" w:id="0">
    <w:p w14:paraId="4E29AA4A" w14:textId="77777777" w:rsidR="00085A96" w:rsidRPr="00C02553" w:rsidRDefault="00085A96" w:rsidP="00AE77DB">
      <w:r w:rsidRPr="00C02553">
        <w:continuationSeparator/>
      </w:r>
    </w:p>
  </w:footnote>
  <w:footnote w:type="continuationNotice" w:id="1">
    <w:p w14:paraId="78290F93" w14:textId="77777777" w:rsidR="00085A96" w:rsidRPr="00C02553" w:rsidRDefault="00085A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133D0D"/>
    <w:multiLevelType w:val="hybridMultilevel"/>
    <w:tmpl w:val="26DE94D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170" w:hanging="360"/>
      </w:pPr>
      <w:rPr>
        <w:rFonts w:ascii="Wingdings" w:hAnsi="Wingdings" w:hint="default"/>
      </w:rPr>
    </w:lvl>
    <w:lvl w:ilvl="3" w:tplc="04090003">
      <w:start w:val="1"/>
      <w:numFmt w:val="bullet"/>
      <w:lvlText w:val="o"/>
      <w:lvlJc w:val="left"/>
      <w:pPr>
        <w:ind w:left="2520" w:hanging="360"/>
      </w:pPr>
      <w:rPr>
        <w:rFonts w:ascii="Courier New" w:hAnsi="Courier New" w:cs="Courier New"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8D40C3"/>
    <w:multiLevelType w:val="multilevel"/>
    <w:tmpl w:val="E1A2A51C"/>
    <w:numStyleLink w:val="References"/>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F49CE"/>
    <w:multiLevelType w:val="hybridMultilevel"/>
    <w:tmpl w:val="D266148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170" w:hanging="360"/>
      </w:pPr>
      <w:rPr>
        <w:rFonts w:ascii="Wingdings" w:hAnsi="Wingdings" w:hint="default"/>
      </w:rPr>
    </w:lvl>
    <w:lvl w:ilvl="3" w:tplc="04090003">
      <w:start w:val="1"/>
      <w:numFmt w:val="bullet"/>
      <w:lvlText w:val="o"/>
      <w:lvlJc w:val="left"/>
      <w:pPr>
        <w:ind w:left="2520" w:hanging="360"/>
      </w:pPr>
      <w:rPr>
        <w:rFonts w:ascii="Courier New" w:hAnsi="Courier New" w:cs="Courier New"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6BF7EE3"/>
    <w:multiLevelType w:val="hybridMultilevel"/>
    <w:tmpl w:val="F572D9A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353422"/>
    <w:multiLevelType w:val="hybridMultilevel"/>
    <w:tmpl w:val="C3148890"/>
    <w:lvl w:ilvl="0" w:tplc="A8A43FF4">
      <w:numFmt w:val="bullet"/>
      <w:lvlText w:val=""/>
      <w:lvlJc w:val="left"/>
      <w:pPr>
        <w:ind w:left="360" w:hanging="360"/>
      </w:pPr>
      <w:rPr>
        <w:rFonts w:ascii="Symbol" w:eastAsia="Arial" w:hAnsi="Symbol" w:cs="Aria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DB91844"/>
    <w:multiLevelType w:val="hybridMultilevel"/>
    <w:tmpl w:val="207806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3">
      <w:start w:val="1"/>
      <w:numFmt w:val="bullet"/>
      <w:lvlText w:val="o"/>
      <w:lvlJc w:val="left"/>
      <w:pPr>
        <w:ind w:left="2520" w:hanging="360"/>
      </w:pPr>
      <w:rPr>
        <w:rFonts w:ascii="Courier New" w:hAnsi="Courier New" w:cs="Courier New"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E5F7FBE"/>
    <w:multiLevelType w:val="hybridMultilevel"/>
    <w:tmpl w:val="FE9AE39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170" w:hanging="360"/>
      </w:pPr>
      <w:rPr>
        <w:rFonts w:ascii="Wingdings" w:hAnsi="Wingdings" w:hint="default"/>
      </w:rPr>
    </w:lvl>
    <w:lvl w:ilvl="3" w:tplc="04090003">
      <w:start w:val="1"/>
      <w:numFmt w:val="bullet"/>
      <w:lvlText w:val="o"/>
      <w:lvlJc w:val="left"/>
      <w:pPr>
        <w:ind w:left="2520" w:hanging="360"/>
      </w:pPr>
      <w:rPr>
        <w:rFonts w:ascii="Courier New" w:hAnsi="Courier New" w:cs="Courier New"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4064CF6"/>
    <w:multiLevelType w:val="hybridMultilevel"/>
    <w:tmpl w:val="C3E229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1"/>
  </w:num>
  <w:num w:numId="3" w16cid:durableId="1729067566">
    <w:abstractNumId w:val="5"/>
  </w:num>
  <w:num w:numId="4" w16cid:durableId="320159068">
    <w:abstractNumId w:val="9"/>
  </w:num>
  <w:num w:numId="5" w16cid:durableId="1769498754">
    <w:abstractNumId w:val="4"/>
  </w:num>
  <w:num w:numId="6" w16cid:durableId="1094596320">
    <w:abstractNumId w:val="16"/>
  </w:num>
  <w:num w:numId="7" w16cid:durableId="2110008555">
    <w:abstractNumId w:val="2"/>
  </w:num>
  <w:num w:numId="8" w16cid:durableId="489712751">
    <w:abstractNumId w:val="8"/>
  </w:num>
  <w:num w:numId="9" w16cid:durableId="1085147965">
    <w:abstractNumId w:val="13"/>
  </w:num>
  <w:num w:numId="10" w16cid:durableId="917518096">
    <w:abstractNumId w:val="10"/>
  </w:num>
  <w:num w:numId="11" w16cid:durableId="1894998475">
    <w:abstractNumId w:val="1"/>
  </w:num>
  <w:num w:numId="12" w16cid:durableId="1418215296">
    <w:abstractNumId w:val="17"/>
  </w:num>
  <w:num w:numId="13" w16cid:durableId="604729665">
    <w:abstractNumId w:val="6"/>
  </w:num>
  <w:num w:numId="14" w16cid:durableId="1805081292">
    <w:abstractNumId w:val="14"/>
  </w:num>
  <w:num w:numId="15" w16cid:durableId="1911186802">
    <w:abstractNumId w:val="7"/>
  </w:num>
  <w:num w:numId="16" w16cid:durableId="1014304344">
    <w:abstractNumId w:val="18"/>
  </w:num>
  <w:num w:numId="17" w16cid:durableId="1397899452">
    <w:abstractNumId w:val="15"/>
  </w:num>
  <w:num w:numId="18" w16cid:durableId="279147771">
    <w:abstractNumId w:val="16"/>
  </w:num>
  <w:num w:numId="19" w16cid:durableId="69162268">
    <w:abstractNumId w:val="20"/>
  </w:num>
  <w:num w:numId="20" w16cid:durableId="404764218">
    <w:abstractNumId w:val="12"/>
  </w:num>
  <w:num w:numId="21" w16cid:durableId="1393115510">
    <w:abstractNumId w:val="3"/>
  </w:num>
  <w:num w:numId="22" w16cid:durableId="963773288">
    <w:abstractNumId w:val="11"/>
  </w:num>
  <w:num w:numId="23" w16cid:durableId="2918503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85A96"/>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5213"/>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2EE6"/>
    <w:rsid w:val="00226275"/>
    <w:rsid w:val="00241104"/>
    <w:rsid w:val="00246564"/>
    <w:rsid w:val="00246A3B"/>
    <w:rsid w:val="00250FBF"/>
    <w:rsid w:val="00255404"/>
    <w:rsid w:val="0025594F"/>
    <w:rsid w:val="00270C5E"/>
    <w:rsid w:val="00290A03"/>
    <w:rsid w:val="0029159A"/>
    <w:rsid w:val="00291600"/>
    <w:rsid w:val="002A02F4"/>
    <w:rsid w:val="002C2C41"/>
    <w:rsid w:val="002C62E7"/>
    <w:rsid w:val="002E05E2"/>
    <w:rsid w:val="002E2AA1"/>
    <w:rsid w:val="002E2DD6"/>
    <w:rsid w:val="002E3F28"/>
    <w:rsid w:val="002F0E52"/>
    <w:rsid w:val="002F2274"/>
    <w:rsid w:val="002F2405"/>
    <w:rsid w:val="002F4FFD"/>
    <w:rsid w:val="002F690F"/>
    <w:rsid w:val="0030301F"/>
    <w:rsid w:val="00303B21"/>
    <w:rsid w:val="003105A5"/>
    <w:rsid w:val="00313701"/>
    <w:rsid w:val="00314219"/>
    <w:rsid w:val="00314430"/>
    <w:rsid w:val="00316188"/>
    <w:rsid w:val="003171AF"/>
    <w:rsid w:val="00317469"/>
    <w:rsid w:val="0032215C"/>
    <w:rsid w:val="0032616B"/>
    <w:rsid w:val="00326687"/>
    <w:rsid w:val="003275F9"/>
    <w:rsid w:val="003276BF"/>
    <w:rsid w:val="00330DD4"/>
    <w:rsid w:val="003345D2"/>
    <w:rsid w:val="003355AC"/>
    <w:rsid w:val="00343D6B"/>
    <w:rsid w:val="00346090"/>
    <w:rsid w:val="00347FB5"/>
    <w:rsid w:val="00351E4B"/>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B3E10"/>
    <w:rsid w:val="004C0F5D"/>
    <w:rsid w:val="004C2B30"/>
    <w:rsid w:val="004C375A"/>
    <w:rsid w:val="004C4954"/>
    <w:rsid w:val="004C5767"/>
    <w:rsid w:val="004D0080"/>
    <w:rsid w:val="004D5322"/>
    <w:rsid w:val="004D78B0"/>
    <w:rsid w:val="004E611F"/>
    <w:rsid w:val="004F2A79"/>
    <w:rsid w:val="004F4D37"/>
    <w:rsid w:val="004F7FEA"/>
    <w:rsid w:val="00501A14"/>
    <w:rsid w:val="00501DE3"/>
    <w:rsid w:val="005058CB"/>
    <w:rsid w:val="0051044D"/>
    <w:rsid w:val="00512109"/>
    <w:rsid w:val="005139E4"/>
    <w:rsid w:val="00514C8A"/>
    <w:rsid w:val="00515075"/>
    <w:rsid w:val="00516D12"/>
    <w:rsid w:val="00520FE9"/>
    <w:rsid w:val="005233E7"/>
    <w:rsid w:val="00526C8D"/>
    <w:rsid w:val="005328B2"/>
    <w:rsid w:val="00535BD5"/>
    <w:rsid w:val="00540977"/>
    <w:rsid w:val="00546F90"/>
    <w:rsid w:val="00551668"/>
    <w:rsid w:val="005572D5"/>
    <w:rsid w:val="00566BE4"/>
    <w:rsid w:val="00570D21"/>
    <w:rsid w:val="00576113"/>
    <w:rsid w:val="00590652"/>
    <w:rsid w:val="0059235F"/>
    <w:rsid w:val="00596936"/>
    <w:rsid w:val="005A2F1E"/>
    <w:rsid w:val="005A4232"/>
    <w:rsid w:val="005C2B41"/>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948"/>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D4731"/>
    <w:rsid w:val="006E0F8B"/>
    <w:rsid w:val="006E12F7"/>
    <w:rsid w:val="006E29D7"/>
    <w:rsid w:val="007068A4"/>
    <w:rsid w:val="00706D67"/>
    <w:rsid w:val="00713052"/>
    <w:rsid w:val="00721367"/>
    <w:rsid w:val="007231FA"/>
    <w:rsid w:val="00732C67"/>
    <w:rsid w:val="00734418"/>
    <w:rsid w:val="007422A1"/>
    <w:rsid w:val="00756CFE"/>
    <w:rsid w:val="00757080"/>
    <w:rsid w:val="00757826"/>
    <w:rsid w:val="00762B13"/>
    <w:rsid w:val="007632B7"/>
    <w:rsid w:val="0076382F"/>
    <w:rsid w:val="00765768"/>
    <w:rsid w:val="00765D10"/>
    <w:rsid w:val="00766AC8"/>
    <w:rsid w:val="00767486"/>
    <w:rsid w:val="0077070E"/>
    <w:rsid w:val="0077296A"/>
    <w:rsid w:val="007773E8"/>
    <w:rsid w:val="00777CA4"/>
    <w:rsid w:val="00792DF0"/>
    <w:rsid w:val="0079438F"/>
    <w:rsid w:val="007A3034"/>
    <w:rsid w:val="007A43F8"/>
    <w:rsid w:val="007A527E"/>
    <w:rsid w:val="007A53E7"/>
    <w:rsid w:val="007A78F7"/>
    <w:rsid w:val="007B3333"/>
    <w:rsid w:val="007B379F"/>
    <w:rsid w:val="007B37D6"/>
    <w:rsid w:val="007B5D30"/>
    <w:rsid w:val="007D16D1"/>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2C03"/>
    <w:rsid w:val="008D3FD8"/>
    <w:rsid w:val="008D6B05"/>
    <w:rsid w:val="008E7D2D"/>
    <w:rsid w:val="008F44C0"/>
    <w:rsid w:val="008F5999"/>
    <w:rsid w:val="00903AD6"/>
    <w:rsid w:val="00904D7A"/>
    <w:rsid w:val="00910FF5"/>
    <w:rsid w:val="00915332"/>
    <w:rsid w:val="009204BB"/>
    <w:rsid w:val="00935918"/>
    <w:rsid w:val="00935EC3"/>
    <w:rsid w:val="00946014"/>
    <w:rsid w:val="00951097"/>
    <w:rsid w:val="00952592"/>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145C"/>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64B9"/>
    <w:rsid w:val="00C07A7B"/>
    <w:rsid w:val="00C1018C"/>
    <w:rsid w:val="00C1150E"/>
    <w:rsid w:val="00C14D52"/>
    <w:rsid w:val="00C2586C"/>
    <w:rsid w:val="00C26001"/>
    <w:rsid w:val="00C34E72"/>
    <w:rsid w:val="00C3693E"/>
    <w:rsid w:val="00C56B1F"/>
    <w:rsid w:val="00C61B52"/>
    <w:rsid w:val="00C62745"/>
    <w:rsid w:val="00C654CA"/>
    <w:rsid w:val="00C763BD"/>
    <w:rsid w:val="00C76FB0"/>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0F9E"/>
    <w:rsid w:val="00D42DA3"/>
    <w:rsid w:val="00D4546D"/>
    <w:rsid w:val="00D47996"/>
    <w:rsid w:val="00D50C35"/>
    <w:rsid w:val="00D61118"/>
    <w:rsid w:val="00D614F1"/>
    <w:rsid w:val="00D70D50"/>
    <w:rsid w:val="00D71917"/>
    <w:rsid w:val="00D958F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1DAC"/>
    <w:rsid w:val="00E83428"/>
    <w:rsid w:val="00E837CA"/>
    <w:rsid w:val="00E84C58"/>
    <w:rsid w:val="00E8583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D7411"/>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3276B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arediseases.org/rare-diseases/epidermolysis-bullos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AD60CED5-2FC8-4E30-B5AC-98FAA9ACC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Epidermolysis_Bullosa_WEB_Proposal</dc:title>
  <dc:subject/>
  <dc:creator>DMS</dc:creator>
  <cp:keywords/>
  <cp:lastModifiedBy>Heriford, Katherine</cp:lastModifiedBy>
  <cp:revision>2</cp:revision>
  <cp:lastPrinted>2018-10-31T18:17:00Z</cp:lastPrinted>
  <dcterms:created xsi:type="dcterms:W3CDTF">2026-02-18T23:24:00Z</dcterms:created>
  <dcterms:modified xsi:type="dcterms:W3CDTF">2026-02-18T23:24:00Z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